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COSHH Task Assessment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885"/>
        <w:gridCol w:w="160"/>
        <w:gridCol w:w="2087"/>
        <w:gridCol w:w="160"/>
        <w:gridCol w:w="2087"/>
        <w:gridCol w:w="160"/>
        <w:gridCol w:w="2247"/>
      </w:tblGrid>
      <w:tr>
        <w:trPr>
          <w:cantSplit/>
          <w:trHeight w:val="720" w:hRule="exact"/>
        </w:trPr>
        <w:tc>
          <w:tcPr>
            <w:tcW w:w="3885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Basement fit-out, Block B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Groundworks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4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CA-013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What the work makes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Running plant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Material worked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Diesel engines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Dust or fume made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Diesel engine exhaust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Tool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Generator, 1 tonne dumper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Partly enclosed basement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a shift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Dumper up to 2 hours a day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59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for exhaust. CO 20, NO2 0.5 ppm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 100, NO2 1 ppm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CO2 640 ppm, an indicator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 October 2026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59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Driver, everyone in the basement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Irritates eyes and airways. Long exposure, above all to blue or black smoke, can cause coughing and breathlessness.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Repeated exposure over many years can increase the risk of lung cancer.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Another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Generator outside, exhaust away from the fan.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Price an electric dumper.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On-tool extraction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 on the dumper.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Water suppression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 on exhaust.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Room ventilation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Fan blows fresh air in. Ramp doors open.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Engine off when idle. One dumper down at a time.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Clean-up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Soot on walls means control is failing: stop.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RPE: type and filter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Disposable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Half mask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Powered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Face-fit tested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used. RPE is the last resort.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CO2 meter. Over 1000 ppm: stop, check fan.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Weekly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required for exhaust. Irritation: stop.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Smoke colours, engine off, fan, soot.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Dumper serviced, no blue or black smoke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Fan and CO2 meter on site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076"/>
        <w:gridCol w:w="160"/>
        <w:gridCol w:w="3076"/>
        <w:gridCol w:w="160"/>
        <w:gridCol w:w="1997"/>
        <w:gridCol w:w="160"/>
        <w:gridCol w:w="2157"/>
      </w:tblGrid>
      <w:tr>
        <w:trPr>
          <w:cantSplit/>
          <w:trHeight w:val="720" w:hRule="exact"/>
        </w:trPr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9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5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Change it to fit your job before you use it.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Task Assessment</dc:title>
  <dc:creator>ComplyOnSite COSHH assessment examples</dc:creator>
</cp:coreProperties>
</file>