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Extension construction phase plan</w:t>
      </w:r>
    </w:p>
    <w:p>
      <w:pPr>
        <w:pStyle w:val="Heading1"/>
      </w:pPr>
      <w:r>
        <w:t xml:space="preserve">The job</w:t>
      </w:r>
    </w:p>
    <w:tbl>
      <w:tblPr>
        <w:tblW w:w="9986" w:type="dxa"/>
        <w:tblBorders>
          <w:top w:val="single" w:sz="4" w:space="0" w:color="CCD6E0"/>
          <w:bottom w:val="single" w:sz="4" w:space="0" w:color="CCD6E0"/>
          <w:insideH w:val="single" w:sz="4" w:space="0" w:color="CCD6E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20" w:firstRow="1" w:lastRow="0" w:firstColumn="0" w:lastColumn="0" w:noHBand="0" w:noVBand="1"/>
        <w:tblCaption w:val="The job"/>
      </w:tblPr>
      <w:tblGrid>
        <w:gridCol w:w="4640"/>
        <w:gridCol w:w="5346"/>
      </w:tblGrid>
      <w:tr>
        <w:trPr>
          <w:trHeight w:val="0" w:hRule="atLeast"/>
        </w:trPr>
        <w:tc>
          <w:tcPr>
            <w:tcW w:w="4640" w:type="dxa"/>
          </w:tcPr>
          <w:p>
            <w:pPr>
              <w:pStyle w:val="FactLabel"/>
            </w:pPr>
            <w:r>
              <w:t xml:space="preserve">Your name and company</w:t>
            </w:r>
          </w:p>
        </w:tc>
        <w:tc>
          <w:tcPr>
            <w:tcW w:w="5346" w:type="dxa"/>
          </w:tcPr>
          <w:p>
            <w:pPr>
              <w:pStyle w:val="FactValue"/>
            </w:pPr>
            <w:r>
              <w:t xml:space="preserve">Hollins &amp; Reed Contracting Ltd, Dan Hollins</w:t>
            </w:r>
          </w:p>
        </w:tc>
      </w:tr>
      <w:tr>
        <w:trPr>
          <w:trHeight w:val="0" w:hRule="atLeast"/>
        </w:trPr>
        <w:tc>
          <w:tcPr>
            <w:tcW w:w="4640" w:type="dxa"/>
          </w:tcPr>
          <w:p>
            <w:pPr>
              <w:pStyle w:val="FactLabel"/>
            </w:pPr>
            <w:r>
              <w:t xml:space="preserve">Client name and address</w:t>
            </w:r>
          </w:p>
        </w:tc>
        <w:tc>
          <w:tcPr>
            <w:tcW w:w="5346" w:type="dxa"/>
          </w:tcPr>
          <w:p>
            <w:pPr>
              <w:pStyle w:val="FactValue"/>
            </w:pPr>
            <w:r>
              <w:t xml:space="preserve">Helen Tunstead, 9 Fernlea Rise, Stockport</w:t>
            </w:r>
          </w:p>
        </w:tc>
      </w:tr>
      <w:tr>
        <w:trPr>
          <w:trHeight w:val="0" w:hRule="atLeast"/>
        </w:trPr>
        <w:tc>
          <w:tcPr>
            <w:tcW w:w="4640" w:type="dxa"/>
          </w:tcPr>
          <w:p>
            <w:pPr>
              <w:pStyle w:val="FactLabel"/>
            </w:pPr>
            <w:r>
              <w:t xml:space="preserve">Architect or principal designer</w:t>
            </w:r>
          </w:p>
        </w:tc>
        <w:tc>
          <w:tcPr>
            <w:tcW w:w="5346" w:type="dxa"/>
          </w:tcPr>
          <w:p>
            <w:pPr>
              <w:pStyle w:val="FactValue"/>
            </w:pPr>
            <w:r>
              <w:t xml:space="preserve">Marsden Lyle Architects Ltd, principal designer</w:t>
            </w:r>
          </w:p>
        </w:tc>
      </w:tr>
      <w:tr>
        <w:trPr>
          <w:trHeight w:val="0" w:hRule="atLeast"/>
        </w:trPr>
        <w:tc>
          <w:tcPr>
            <w:tcW w:w="4640" w:type="dxa"/>
          </w:tcPr>
          <w:p>
            <w:pPr>
              <w:pStyle w:val="FactLabel"/>
            </w:pPr>
            <w:r>
              <w:t xml:space="preserve">What is the job?</w:t>
            </w:r>
          </w:p>
        </w:tc>
        <w:tc>
          <w:tcPr>
            <w:tcW w:w="5346" w:type="dxa"/>
          </w:tcPr>
          <w:p>
            <w:pPr>
              <w:pStyle w:val="FactValue"/>
            </w:pPr>
            <w:r>
              <w:t xml:space="preserve">Two-storey rear extension to a lived-in semi</w:t>
            </w:r>
          </w:p>
        </w:tc>
      </w:tr>
      <w:tr>
        <w:trPr>
          <w:trHeight w:val="0" w:hRule="atLeast"/>
        </w:trPr>
        <w:tc>
          <w:tcPr>
            <w:tcW w:w="4640" w:type="dxa"/>
          </w:tcPr>
          <w:p>
            <w:pPr>
              <w:pStyle w:val="FactLabel"/>
            </w:pPr>
            <w:r>
              <w:t xml:space="preserve">Start, finish and other key dates</w:t>
            </w:r>
          </w:p>
        </w:tc>
        <w:tc>
          <w:tcPr>
            <w:tcW w:w="5346" w:type="dxa"/>
          </w:tcPr>
          <w:p>
            <w:pPr>
              <w:pStyle w:val="FactValue"/>
            </w:pPr>
            <w:r>
              <w:t xml:space="preserve">8 June to 11 September 2026. Roof on by 24 July</w:t>
            </w:r>
          </w:p>
        </w:tc>
      </w:tr>
      <w:tr>
        <w:trPr>
          <w:trHeight w:val="0" w:hRule="atLeast"/>
        </w:trPr>
        <w:tc>
          <w:tcPr>
            <w:tcW w:w="4640" w:type="dxa"/>
          </w:tcPr>
          <w:p>
            <w:pPr>
              <w:pStyle w:val="FactLabel"/>
            </w:pPr>
            <w:r>
              <w:t xml:space="preserve">Principal contractor, if more than one contractor</w:t>
            </w:r>
          </w:p>
        </w:tc>
        <w:tc>
          <w:tcPr>
            <w:tcW w:w="5346" w:type="dxa"/>
          </w:tcPr>
          <w:p>
            <w:pPr>
              <w:pStyle w:val="FactValue"/>
            </w:pPr>
            <w:r>
              <w:t xml:space="preserve">Hollins &amp; Reed Contracting Ltd</w:t>
            </w:r>
          </w:p>
        </w:tc>
      </w:tr>
    </w:tbl>
    <w:p>
      <w:pPr>
        <w:pStyle w:val="Heading1"/>
      </w:pPr>
      <w:r>
        <w:t xml:space="preserve">What the client has told you</w:t>
      </w:r>
      <w:r>
        <w:rPr>
          <w:b w:val="0"/>
          <w:sz w:val="17"/>
        </w:rPr>
        <w:t xml:space="preserve">   Services and isolation points, access limits, asbestos.</w:t>
      </w:r>
    </w:p>
    <w:p>
      <w:pPr>
        <w:pStyle w:val="WriteLine"/>
      </w:pPr>
      <w:r>
        <w:rPr>
          <w:sz w:val="17"/>
        </w:rPr>
        <w:t xml:space="preserve">Stopcock under sink; gas meter, fuse box in porch. Side path access. Principal designer’s written appointment seen, 12 May 2026. Refurbishment asbestos survey, Hazel Bank Surveys Ltd, 19 May 2026: none in the kitchen, rear wall or eaves.</w:t>
      </w:r>
    </w:p>
    <w:p>
      <w:pPr>
        <w:pStyle w:val="Heading1"/>
      </w:pPr>
      <w:r>
        <w:t xml:space="preserve">Toilets, washing and rest</w:t>
      </w:r>
      <w:r>
        <w:rPr>
          <w:b w:val="0"/>
          <w:sz w:val="17"/>
        </w:rPr>
        <w:t xml:space="preserve">   What there is, and where.</w:t>
      </w:r>
    </w:p>
    <w:p>
      <w:pPr>
        <w:pStyle w:val="WriteLine"/>
      </w:pPr>
      <w:r>
        <w:rPr>
          <w:sz w:val="17"/>
        </w:rPr>
        <w:t xml:space="preserve">Unit on drive from day 1: toilet, basin, hot water, soap, towels, drinking water, heated room, table, seats, kettle, microwave.</w:t>
      </w:r>
    </w:p>
    <w:p>
      <w:pPr>
        <w:pStyle w:val="Heading1"/>
      </w:pPr>
      <w:r>
        <w:t xml:space="preserve">Who else is on site</w:t>
      </w:r>
      <w:r>
        <w:rPr>
          <w:b w:val="0"/>
          <w:sz w:val="17"/>
        </w:rPr>
        <w:t xml:space="preserve">   Names, contact details, specialist companies, labourers.</w:t>
      </w:r>
    </w:p>
    <w:p>
      <w:pPr>
        <w:pStyle w:val="WriteLine"/>
      </w:pPr>
      <w:r>
        <w:rPr>
          <w:sz w:val="17"/>
        </w:rPr>
        <w:t xml:space="preserve">Priya Shah; Joe Penketh, labourer. Roofer from 13 July: Cheadle Heath Roofing Ltd, Neil Hazlehurst, 0161 496 0167. Scaffolder: Hollins &amp; Reed Scaffolding Ltd, 0161 496 0173. Electrician: Hollins &amp; Reed Electrical Ltd, 0161 496 0174.</w:t>
      </w:r>
    </w:p>
    <w:p>
      <w:pPr>
        <w:pStyle w:val="Heading1"/>
      </w:pPr>
      <w:r>
        <w:t xml:space="preserve">Keeping everyone up to date</w:t>
      </w:r>
      <w:r>
        <w:rPr>
          <w:b w:val="0"/>
          <w:sz w:val="17"/>
        </w:rPr>
        <w:t xml:space="preserve">   How changes reach everyone, such as a daily update.</w:t>
      </w:r>
    </w:p>
    <w:p>
      <w:pPr>
        <w:pStyle w:val="WriteLine"/>
      </w:pPr>
      <w:r>
        <w:rPr>
          <w:sz w:val="17"/>
        </w:rPr>
        <w:t xml:space="preserve">Five-minute talk at 08:00 each day, with changes on the site board. Helen Tunstead hears the same day.</w:t>
      </w:r>
    </w:p>
    <w:p>
      <w:pPr>
        <w:pStyle w:val="Heading1"/>
      </w:pPr>
      <w:r>
        <w:t xml:space="preserve">Site rules</w:t>
      </w:r>
      <w:r>
        <w:rPr>
          <w:b w:val="0"/>
          <w:sz w:val="17"/>
        </w:rPr>
        <w:t xml:space="preserve">   Protective equipment, parking, radios and phones, smoking, restricted areas, hot works.</w:t>
      </w:r>
    </w:p>
    <w:p>
      <w:pPr>
        <w:pStyle w:val="WriteLine"/>
      </w:pPr>
      <w:r>
        <w:rPr>
          <w:sz w:val="17"/>
        </w:rPr>
        <w:t xml:space="preserve">Boots and hi-vis at all times, hard hat under the scaffold. Park on the road, never across a drive. No radios. No phones on the scaffold. No smoking on site or in the house. Ask Dan before going into a trench. No hot works.</w:t>
      </w:r>
    </w:p>
    <w:p>
      <w:pPr>
        <w:pStyle w:val="Heading1"/>
      </w:pPr>
      <w:r>
        <w:t xml:space="preserve">The main dangers on site</w:t>
      </w:r>
    </w:p>
    <w:tbl>
      <w:tblPr>
        <w:tblW w:w="9986" w:type="dxa"/>
        <w:tblBorders>
          <w:top w:val="single" w:sz="4" w:space="0" w:color="CCD6E0"/>
          <w:left w:val="single" w:sz="4" w:space="0" w:color="CCD6E0"/>
          <w:bottom w:val="single" w:sz="4" w:space="0" w:color="CCD6E0"/>
          <w:right w:val="single" w:sz="4" w:space="0" w:color="CCD6E0"/>
          <w:insideH w:val="single" w:sz="4" w:space="0" w:color="CCD6E0"/>
          <w:insideV w:val="single" w:sz="4" w:space="0" w:color="CCD6E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20" w:firstRow="1" w:lastRow="0" w:firstColumn="0" w:lastColumn="0" w:noHBand="0" w:noVBand="1"/>
        <w:tblCaption w:val="The main dangers on site"/>
      </w:tblPr>
      <w:tblGrid>
        <w:gridCol w:w="3875"/>
        <w:gridCol w:w="1043"/>
        <w:gridCol w:w="5067"/>
      </w:tblGrid>
      <w:tr>
        <w:trPr>
          <w:cantSplit/>
          <w:tblHeader/>
        </w:trPr>
        <w:tc>
          <w:tcPr>
            <w:tcW w:w="3875" w:type="dxa"/>
            <w:shd w:val="clear" w:color="auto" w:fill="F6F8FA"/>
          </w:tcPr>
          <w:p>
            <w:pPr>
              <w:pStyle w:val="TableHead"/>
            </w:pPr>
            <w:r>
              <w:t xml:space="preserve">Danger</w:t>
            </w:r>
          </w:p>
        </w:tc>
        <w:tc>
          <w:tcPr>
            <w:tcW w:w="1043" w:type="dxa"/>
            <w:shd w:val="clear" w:color="auto" w:fill="F6F8FA"/>
          </w:tcPr>
          <w:p>
            <w:pPr>
              <w:pStyle w:val="TableHead"/>
            </w:pPr>
            <w:r>
              <w:t xml:space="preserve">Present?</w:t>
            </w:r>
          </w:p>
        </w:tc>
        <w:tc>
          <w:tcPr>
            <w:tcW w:w="5067" w:type="dxa"/>
            <w:shd w:val="clear" w:color="auto" w:fill="F6F8FA"/>
          </w:tcPr>
          <w:p>
            <w:pPr>
              <w:pStyle w:val="TableHead"/>
            </w:pPr>
            <w:r>
              <w:t xml:space="preserve">The controls</w:t>
            </w:r>
          </w:p>
        </w:tc>
      </w:tr>
      <w:tr>
        <w:trPr>
          <w:trHeight w:val="0" w:hRule="atLeast"/>
        </w:trPr>
        <w:tc>
          <w:tcPr>
            <w:tcW w:w="3875" w:type="dxa"/>
          </w:tcPr>
          <w:p>
            <w:pPr>
              <w:pStyle w:val="TableText"/>
            </w:pPr>
            <w:r>
              <w:rPr>
                <w:b/>
              </w:rPr>
              <w:t xml:space="preserve">Falls from height</w:t>
            </w:r>
          </w:p>
        </w:tc>
        <w:tc>
          <w:tcPr>
            <w:tcW w:w="1043" w:type="dxa"/>
          </w:tcPr>
          <w:p>
            <w:pPr>
              <w:pStyle w:val="TableText"/>
            </w:pPr>
            <w:r>
              <w:rPr>
                <w:sz w:val="17"/>
              </w:rPr>
              <w:t xml:space="preserve">Yes</w:t>
            </w:r>
          </w:p>
        </w:tc>
        <w:tc>
          <w:tcPr>
            <w:tcW w:w="5067" w:type="dxa"/>
          </w:tcPr>
          <w:p>
            <w:pPr>
              <w:pStyle w:val="TableText"/>
            </w:pPr>
            <w:r>
              <w:rPr>
                <w:sz w:val="17"/>
              </w:rPr>
              <w:t xml:space="preserve">Guardrailed scaffold: inspected first, weekly, after gales</w:t>
            </w:r>
          </w:p>
        </w:tc>
      </w:tr>
      <w:tr>
        <w:trPr>
          <w:trHeight w:val="0" w:hRule="atLeast"/>
        </w:trPr>
        <w:tc>
          <w:tcPr>
            <w:tcW w:w="3875" w:type="dxa"/>
          </w:tcPr>
          <w:p>
            <w:pPr>
              <w:pStyle w:val="TableText"/>
            </w:pPr>
            <w:r>
              <w:rPr>
                <w:b/>
              </w:rPr>
              <w:t xml:space="preserve">Collapse of excavations</w:t>
            </w:r>
          </w:p>
        </w:tc>
        <w:tc>
          <w:tcPr>
            <w:tcW w:w="1043" w:type="dxa"/>
          </w:tcPr>
          <w:p>
            <w:pPr>
              <w:pStyle w:val="TableText"/>
            </w:pPr>
            <w:r>
              <w:rPr>
                <w:sz w:val="17"/>
              </w:rPr>
              <w:t xml:space="preserve">Yes</w:t>
            </w:r>
          </w:p>
        </w:tc>
        <w:tc>
          <w:tcPr>
            <w:tcW w:w="5067" w:type="dxa"/>
          </w:tcPr>
          <w:p>
            <w:pPr>
              <w:pStyle w:val="TableText"/>
            </w:pPr>
            <w:r>
              <w:rPr>
                <w:sz w:val="17"/>
              </w:rPr>
              <w:t xml:space="preserve">Trenches supported and barriered, checked each shift</w:t>
            </w:r>
          </w:p>
        </w:tc>
      </w:tr>
      <w:tr>
        <w:trPr>
          <w:trHeight w:val="0" w:hRule="atLeast"/>
        </w:trPr>
        <w:tc>
          <w:tcPr>
            <w:tcW w:w="3875" w:type="dxa"/>
          </w:tcPr>
          <w:p>
            <w:pPr>
              <w:pStyle w:val="TableText"/>
            </w:pPr>
            <w:r>
              <w:rPr>
                <w:b/>
              </w:rPr>
              <w:t xml:space="preserve">Collapse of structures</w:t>
            </w:r>
          </w:p>
        </w:tc>
        <w:tc>
          <w:tcPr>
            <w:tcW w:w="1043" w:type="dxa"/>
          </w:tcPr>
          <w:p>
            <w:pPr>
              <w:pStyle w:val="TableText"/>
            </w:pPr>
            <w:r>
              <w:rPr>
                <w:sz w:val="17"/>
              </w:rPr>
              <w:t xml:space="preserve">Yes</w:t>
            </w:r>
          </w:p>
        </w:tc>
        <w:tc>
          <w:tcPr>
            <w:tcW w:w="5067" w:type="dxa"/>
          </w:tcPr>
          <w:p>
            <w:pPr>
              <w:pStyle w:val="TableText"/>
            </w:pPr>
            <w:r>
              <w:rPr>
                <w:sz w:val="17"/>
              </w:rPr>
              <w:t xml:space="preserve">Props to the engineer’s drawing, set by a competent person</w:t>
            </w:r>
          </w:p>
        </w:tc>
      </w:tr>
      <w:tr>
        <w:trPr>
          <w:trHeight w:val="0" w:hRule="atLeast"/>
        </w:trPr>
        <w:tc>
          <w:tcPr>
            <w:tcW w:w="3875" w:type="dxa"/>
          </w:tcPr>
          <w:p>
            <w:pPr>
              <w:pStyle w:val="TableText"/>
            </w:pPr>
            <w:r>
              <w:rPr>
                <w:b/>
              </w:rPr>
              <w:t xml:space="preserve">Exposure to building dusts</w:t>
            </w:r>
          </w:p>
        </w:tc>
        <w:tc>
          <w:tcPr>
            <w:tcW w:w="1043" w:type="dxa"/>
          </w:tcPr>
          <w:p>
            <w:pPr>
              <w:pStyle w:val="TableText"/>
            </w:pPr>
            <w:r>
              <w:rPr>
                <w:sz w:val="17"/>
              </w:rPr>
              <w:t xml:space="preserve">Yes</w:t>
            </w:r>
          </w:p>
        </w:tc>
        <w:tc>
          <w:tcPr>
            <w:tcW w:w="5067" w:type="dxa"/>
          </w:tcPr>
          <w:p>
            <w:pPr>
              <w:pStyle w:val="TableText"/>
            </w:pPr>
            <w:r>
              <w:rPr>
                <w:sz w:val="17"/>
              </w:rPr>
              <w:t xml:space="preserve">Wet cutting, extraction on tools, masks, no dry sweeping</w:t>
            </w:r>
          </w:p>
        </w:tc>
      </w:tr>
      <w:tr>
        <w:trPr>
          <w:trHeight w:val="0" w:hRule="atLeast"/>
        </w:trPr>
        <w:tc>
          <w:tcPr>
            <w:tcW w:w="3875" w:type="dxa"/>
          </w:tcPr>
          <w:p>
            <w:pPr>
              <w:pStyle w:val="TableText"/>
            </w:pPr>
            <w:r>
              <w:rPr>
                <w:b/>
              </w:rPr>
              <w:t xml:space="preserve">Exposure to asbestos</w:t>
            </w:r>
          </w:p>
        </w:tc>
        <w:tc>
          <w:tcPr>
            <w:tcW w:w="1043" w:type="dxa"/>
          </w:tcPr>
          <w:p>
            <w:pPr>
              <w:pStyle w:val="TableText"/>
            </w:pPr>
            <w:r>
              <w:rPr>
                <w:sz w:val="17"/>
              </w:rPr>
              <w:t xml:space="preserve">No</w:t>
            </w:r>
          </w:p>
        </w:tc>
        <w:tc>
          <w:tcPr>
            <w:tcW w:w="5067" w:type="dxa"/>
          </w:tcPr>
          <w:p>
            <w:pPr>
              <w:pStyle w:val="TableText"/>
            </w:pPr>
            <w:r>
              <w:rPr>
                <w:sz w:val="17"/>
              </w:rPr>
              <w:t xml:space="preserve">None in the survey. Stop and ring Dan if anything looks odd</w:t>
            </w:r>
          </w:p>
        </w:tc>
      </w:tr>
      <w:tr>
        <w:trPr>
          <w:trHeight w:val="0" w:hRule="atLeast"/>
        </w:trPr>
        <w:tc>
          <w:tcPr>
            <w:tcW w:w="3875" w:type="dxa"/>
          </w:tcPr>
          <w:p>
            <w:pPr>
              <w:pStyle w:val="TableText"/>
            </w:pPr>
            <w:r>
              <w:rPr>
                <w:b/>
              </w:rPr>
              <w:t xml:space="preserve">Activities or workers requiring supervision</w:t>
            </w:r>
          </w:p>
        </w:tc>
        <w:tc>
          <w:tcPr>
            <w:tcW w:w="1043" w:type="dxa"/>
          </w:tcPr>
          <w:p>
            <w:pPr>
              <w:pStyle w:val="TableText"/>
            </w:pPr>
            <w:r>
              <w:rPr>
                <w:sz w:val="17"/>
              </w:rPr>
              <w:t xml:space="preserve">Yes</w:t>
            </w:r>
          </w:p>
        </w:tc>
        <w:tc>
          <w:tcPr>
            <w:tcW w:w="5067" w:type="dxa"/>
          </w:tcPr>
          <w:p>
            <w:pPr>
              <w:pStyle w:val="TableText"/>
            </w:pPr>
            <w:r>
              <w:rPr>
                <w:sz w:val="17"/>
              </w:rPr>
              <w:t xml:space="preserve">Joe Penketh is new to us and stays with Priya Shah</w:t>
            </w:r>
          </w:p>
        </w:tc>
      </w:tr>
      <w:tr>
        <w:trPr>
          <w:trHeight w:val="0" w:hRule="atLeast"/>
        </w:trPr>
        <w:tc>
          <w:tcPr>
            <w:tcW w:w="3875" w:type="dxa"/>
          </w:tcPr>
          <w:p>
            <w:pPr>
              <w:pStyle w:val="TableText"/>
            </w:pPr>
            <w:r>
              <w:rPr>
                <w:b/>
              </w:rPr>
              <w:t xml:space="preserve">Electricity</w:t>
            </w:r>
          </w:p>
        </w:tc>
        <w:tc>
          <w:tcPr>
            <w:tcW w:w="1043" w:type="dxa"/>
          </w:tcPr>
          <w:p>
            <w:pPr>
              <w:pStyle w:val="TableText"/>
            </w:pPr>
            <w:r>
              <w:rPr>
                <w:sz w:val="17"/>
              </w:rPr>
              <w:t xml:space="preserve">Yes</w:t>
            </w:r>
          </w:p>
        </w:tc>
        <w:tc>
          <w:tcPr>
            <w:tcW w:w="5067" w:type="dxa"/>
          </w:tcPr>
          <w:p>
            <w:pPr>
              <w:pStyle w:val="TableText"/>
            </w:pPr>
            <w:r>
              <w:rPr>
                <w:sz w:val="17"/>
              </w:rPr>
              <w:t xml:space="preserve">Supply off before drilling walls; buried services traced</w:t>
            </w:r>
          </w:p>
        </w:tc>
      </w:tr>
      <w:tr>
        <w:trPr>
          <w:trHeight w:val="0" w:hRule="atLeast"/>
        </w:trPr>
        <w:tc>
          <w:tcPr>
            <w:tcW w:w="3875" w:type="dxa"/>
          </w:tcPr>
          <w:p>
            <w:pPr>
              <w:pStyle w:val="TableText"/>
            </w:pPr>
            <w:r>
              <w:rPr>
                <w:b/>
              </w:rPr>
              <w:t xml:space="preserve">Risks to members of the public, the client and others</w:t>
            </w:r>
          </w:p>
        </w:tc>
        <w:tc>
          <w:tcPr>
            <w:tcW w:w="1043" w:type="dxa"/>
          </w:tcPr>
          <w:p>
            <w:pPr>
              <w:pStyle w:val="TableText"/>
            </w:pPr>
            <w:r>
              <w:rPr>
                <w:sz w:val="17"/>
              </w:rPr>
              <w:t xml:space="preserve">Yes</w:t>
            </w:r>
          </w:p>
        </w:tc>
        <w:tc>
          <w:tcPr>
            <w:tcW w:w="5067" w:type="dxa"/>
          </w:tcPr>
          <w:p>
            <w:pPr>
              <w:pStyle w:val="TableText"/>
            </w:pPr>
            <w:r>
              <w:rPr>
                <w:sz w:val="17"/>
              </w:rPr>
              <w:t xml:space="preserve">Site fenced off from the garden; scaffold netted; chute to skip</w:t>
            </w:r>
          </w:p>
        </w:tc>
      </w:tr>
      <w:tr>
        <w:trPr>
          <w:trHeight w:val="0" w:hRule="atLeast"/>
        </w:trPr>
        <w:tc>
          <w:tcPr>
            <w:tcW w:w="3875" w:type="dxa"/>
          </w:tcPr>
          <w:p>
            <w:pPr>
              <w:pStyle w:val="TableText"/>
            </w:pPr>
            <w:r>
              <w:rPr>
                <w:b/>
              </w:rPr>
              <w:t xml:space="preserve">Other dangers on site</w:t>
            </w:r>
          </w:p>
        </w:tc>
        <w:tc>
          <w:tcPr>
            <w:tcW w:w="1043" w:type="dxa"/>
          </w:tcPr>
          <w:p>
            <w:pPr>
              <w:pStyle w:val="TableText"/>
            </w:pPr>
            <w:r>
              <w:rPr>
                <w:sz w:val="17"/>
              </w:rPr>
              <w:t xml:space="preserve">Yes</w:t>
            </w:r>
          </w:p>
        </w:tc>
        <w:tc>
          <w:tcPr>
            <w:tcW w:w="5067" w:type="dxa"/>
          </w:tcPr>
          <w:p>
            <w:pPr>
              <w:pStyle w:val="TableText"/>
            </w:pPr>
            <w:r>
              <w:rPr>
                <w:sz w:val="17"/>
              </w:rPr>
              <w:t xml:space="preserve">Deliveries watched on the drive by a second person</w:t>
            </w:r>
          </w:p>
        </w:tc>
      </w:tr>
    </w:tbl>
    <w:p>
      <w:pPr>
        <w:pStyle w:val="Heading1"/>
      </w:pPr>
      <w:r>
        <w:t xml:space="preserve">Running the job safely</w:t>
      </w:r>
    </w:p>
    <w:tbl>
      <w:tblPr>
        <w:tblW w:w="9986" w:type="dxa"/>
        <w:tblBorders>
          <w:top w:val="single" w:sz="4" w:space="0" w:color="CCD6E0"/>
          <w:bottom w:val="single" w:sz="4" w:space="0" w:color="CCD6E0"/>
          <w:insideH w:val="single" w:sz="4" w:space="0" w:color="CCD6E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20" w:firstRow="1" w:lastRow="0" w:firstColumn="0" w:lastColumn="0" w:noHBand="0" w:noVBand="1"/>
        <w:tblCaption w:val="Running the job safely"/>
      </w:tblPr>
      <w:tblGrid>
        <w:gridCol w:w="4640"/>
        <w:gridCol w:w="5346"/>
      </w:tblGrid>
      <w:tr>
        <w:trPr>
          <w:trHeight w:val="0" w:hRule="atLeast"/>
        </w:trPr>
        <w:tc>
          <w:tcPr>
            <w:tcW w:w="4640" w:type="dxa"/>
          </w:tcPr>
          <w:p>
            <w:pPr>
              <w:pStyle w:val="FactLabel"/>
            </w:pPr>
            <w:r>
              <w:t xml:space="preserve">Person responsible for the job running safely</w:t>
            </w:r>
          </w:p>
        </w:tc>
        <w:tc>
          <w:tcPr>
            <w:tcW w:w="5346" w:type="dxa"/>
          </w:tcPr>
          <w:p>
            <w:pPr>
              <w:pStyle w:val="FactValue"/>
            </w:pPr>
            <w:r>
              <w:t xml:space="preserve">Dan Hollins, 0161 496 0142</w:t>
            </w:r>
          </w:p>
        </w:tc>
      </w:tr>
      <w:tr>
        <w:trPr>
          <w:trHeight w:val="0" w:hRule="atLeast"/>
        </w:trPr>
        <w:tc>
          <w:tcPr>
            <w:tcW w:w="4640" w:type="dxa"/>
          </w:tcPr>
          <w:p>
            <w:pPr>
              <w:pStyle w:val="FactLabel"/>
            </w:pPr>
            <w:r>
              <w:t xml:space="preserve">How supervision will be provided</w:t>
            </w:r>
          </w:p>
        </w:tc>
        <w:tc>
          <w:tcPr>
            <w:tcW w:w="5346" w:type="dxa"/>
          </w:tcPr>
          <w:p>
            <w:pPr>
              <w:pStyle w:val="FactValue"/>
            </w:pPr>
            <w:r>
              <w:t xml:space="preserve">Dan Hollins daily, Priya Shah if he is away</w:t>
            </w:r>
          </w:p>
        </w:tc>
      </w:tr>
      <w:tr>
        <w:trPr>
          <w:trHeight w:val="0" w:hRule="atLeast"/>
        </w:trPr>
        <w:tc>
          <w:tcPr>
            <w:tcW w:w="4640" w:type="dxa"/>
          </w:tcPr>
          <w:p>
            <w:pPr>
              <w:pStyle w:val="FactLabel"/>
            </w:pPr>
            <w:r>
              <w:t xml:space="preserve">Plan drawn up by, and date</w:t>
            </w:r>
          </w:p>
        </w:tc>
        <w:tc>
          <w:tcPr>
            <w:tcW w:w="5346" w:type="dxa"/>
          </w:tcPr>
          <w:p>
            <w:pPr>
              <w:pStyle w:val="FactValue"/>
            </w:pPr>
            <w:r>
              <w:t xml:space="preserve">Dan Hollins, 1 June 2026</w:t>
            </w:r>
          </w:p>
        </w:tc>
      </w:tr>
    </w:tbl>
    <w:p>
      <w:pPr>
        <w:pStyle w:val="Gap"/>
      </w:pPr>
    </w:p>
    <w:sectPr>
      <w:headerReference w:type="first" r:id="rIdHeadFirst"/>
      <w:headerReference w:type="default" r:id="rIdHead"/>
      <w:footerReference w:type="first" r:id="rIdFootFirst"/>
      <w:footerReference w:type="default" r:id="rIdFoot"/>
      <w:pgSz w:w="11906" w:h="16838"/>
      <w:pgMar w:top="1278" w:right="960" w:bottom="1160" w:left="960" w:header="480" w:footer="480" w:gutter="0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pStyle w:val="Footer"/>
      <w:pBdr>
        <w:top w:val="single" w:sz="4" w:space="6" w:color="CCD6E0"/>
      </w:pBdr>
      <w:tabs>
        <w:tab w:val="right" w:pos="9986"/>
      </w:tabs>
    </w:pPr>
    <w:r>
      <w:t xml:space="preserve">Worked example of a made-up job. Not a plan for a real site.</w:t>
    </w:r>
    <w:r>
      <w:tab/>
    </w: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  <w:p>
    <w:pPr>
      <w:pStyle w:val="Footer"/>
      <w:jc w:val="right"/>
    </w:pPr>
    <w:r>
      <w:rPr>
        <w:sz w:val="14"/>
      </w:rPr>
      <w:t xml:space="preserve">Made with ComplyOnSite</w: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pStyle w:val="Footer"/>
      <w:pBdr>
        <w:top w:val="single" w:sz="4" w:space="6" w:color="CCD6E0"/>
      </w:pBdr>
      <w:tabs>
        <w:tab w:val="right" w:pos="9986"/>
      </w:tabs>
    </w:pPr>
    <w:r>
      <w:t xml:space="preserve">Worked example of a made-up job. Not a plan for a real site.</w:t>
    </w:r>
    <w:r>
      <w:tab/>
    </w: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  <w:p>
    <w:pPr>
      <w:pStyle w:val="Footer"/>
      <w:jc w:val="right"/>
    </w:pPr>
    <w:r>
      <w:rPr>
        <w:sz w:val="14"/>
      </w:rPr>
      <w:t xml:space="preserve">Made with ComplyOnSite</w:t>
    </w:r>
  </w:p>
</w:ftr>
</file>

<file path=word/footer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pStyle w:val="Footer"/>
      <w:pBdr>
        <w:top w:val="single" w:sz="4" w:space="6" w:color="CCD6E0"/>
      </w:pBdr>
      <w:tabs>
        <w:tab w:val="right" w:pos="14918"/>
      </w:tabs>
    </w:pPr>
    <w:r>
      <w:t xml:space="preserve">Worked example of a made-up job. Not a plan for a real site.</w:t>
    </w:r>
    <w:r>
      <w:tab/>
    </w: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  <w:p>
    <w:pPr>
      <w:pStyle w:val="Footer"/>
      <w:jc w:val="right"/>
    </w:pPr>
    <w:r>
      <w:rPr>
        <w:sz w:val="14"/>
      </w:rPr>
      <w:t xml:space="preserve">Made with ComplyOnSite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>
  <w:p>
    <w:pPr>
      <w:pStyle w:val="Header"/>
      <w:pBdr>
        <w:top w:val="single" w:sz="48" w:space="10" w:color="2C7A72"/>
      </w:pBdr>
      <w:tabs>
        <w:tab w:val="right" w:pos="9986"/>
      </w:tabs>
    </w:pPr>
    <w:r>
      <w:tab/>
    </w:r>
    <w:r>
      <w:rPr>
        <w:b/>
        <w:color w:val="121A29"/>
        <w:sz w:val="22"/>
      </w:rPr>
      <w:t xml:space="preserve">Hollins &amp; Reed Contracting Ltd</w: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>
  <w:p>
    <w:pPr>
      <w:pStyle w:val="Header"/>
      <w:pBdr>
        <w:top w:val="single" w:sz="48" w:space="10" w:color="2C7A72"/>
        <w:bottom w:val="single" w:sz="4" w:space="4" w:color="CCD6E0"/>
      </w:pBdr>
      <w:tabs>
        <w:tab w:val="right" w:pos="9986"/>
      </w:tabs>
    </w:pPr>
    <w:fldSimple w:instr=" STYLEREF &quot;Title&quot; ">
      <w:r>
        <w:rPr>
          <w:b/>
          <w:color w:val="596678"/>
        </w:rPr>
        <w:t xml:space="preserve">Extension construction phase plan</w:t>
      </w:r>
    </w:fldSimple>
    <w:r>
      <w:tab/>
    </w:r>
    <w:r>
      <w:rPr>
        <w:b/>
        <w:color w:val="121A29"/>
        <w:sz w:val="17"/>
      </w:rPr>
      <w:t xml:space="preserve">Hollins &amp; Reed Contracting Ltd</w:t>
    </w:r>
  </w:p>
</w:hdr>
</file>

<file path=word/header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>
  <w:p>
    <w:pPr>
      <w:pStyle w:val="Header"/>
      <w:pBdr>
        <w:top w:val="single" w:sz="48" w:space="10" w:color="2C7A72"/>
        <w:bottom w:val="single" w:sz="4" w:space="4" w:color="CCD6E0"/>
      </w:pBdr>
      <w:tabs>
        <w:tab w:val="right" w:pos="14918"/>
      </w:tabs>
    </w:pPr>
    <w:fldSimple w:instr=" STYLEREF &quot;Title&quot; ">
      <w:r>
        <w:rPr>
          <w:b/>
          <w:color w:val="596678"/>
        </w:rPr>
        <w:t xml:space="preserve">Extension construction phase plan</w:t>
      </w:r>
    </w:fldSimple>
    <w:r>
      <w:tab/>
    </w:r>
    <w:r>
      <w:rPr>
        <w:b/>
        <w:color w:val="121A29"/>
        <w:sz w:val="17"/>
      </w:rPr>
      <w:t xml:space="preserve">Hollins &amp; Reed Contracting Ltd</w: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suff w:val="nothing"/>
      <w:lvlText w:val="%1"/>
      <w:lvlJc w:val="left"/>
      <w:pPr>
        <w:ind w:left="0" w:firstLine="0"/>
      </w:pPr>
      <w:rPr>
        <w:b/>
        <w:color w:val="2C7A7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  <w:themeFontLang w:val="en-GB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93345"/>
        <w:sz w:val="21"/>
        <w:szCs w:val="21"/>
        <w:lang w:val="en-GB"/>
      </w:rPr>
    </w:rPrDefault>
    <w:pPrDefault>
      <w:pPr>
        <w:spacing w:before="0" w:after="120" w:line="240" w:lineRule="auto"/>
      </w:pPr>
    </w:pPrDefault>
  </w:docDefaults>
  <w:style w:type="paragraph" w:default="1" w:styleId="Normal">
    <w:name w:val="Normal"/>
    <w:qFormat/>
  </w:style>
  <w:style w:type="paragraph" w:styleId="Eyebrow">
    <w:name w:val="Document type"/>
    <w:basedOn w:val="Normal"/>
    <w:qFormat/>
    <w:pPr>
      <w:spacing w:before="200" w:after="80"/>
    </w:pPr>
    <w:rPr>
      <w:b/>
      <w:color w:val="2C7A72"/>
      <w:sz w:val="17"/>
      <w:szCs w:val="17"/>
    </w:rPr>
  </w:style>
  <w:style w:type="paragraph" w:styleId="Title">
    <w:name w:val="Title"/>
    <w:basedOn w:val="Normal"/>
    <w:qFormat/>
    <w:pPr>
      <w:keepNext/>
      <w:spacing w:before="0" w:after="80"/>
    </w:pPr>
    <w:rPr>
      <w:b/>
      <w:color w:val="121A29"/>
      <w:sz w:val="44"/>
      <w:szCs w:val="44"/>
    </w:rPr>
  </w:style>
  <w:style w:type="paragraph" w:styleId="CoverTitle">
    <w:name w:val="Cover title"/>
    <w:basedOn w:val="Normal"/>
    <w:qFormat/>
    <w:pPr>
      <w:keepNext/>
      <w:spacing w:before="1200" w:after="800"/>
      <w:outlineLvl w:val="0"/>
    </w:pPr>
    <w:rPr>
      <w:b/>
      <w:color w:val="121A29"/>
      <w:sz w:val="68"/>
      <w:szCs w:val="68"/>
    </w:rPr>
  </w:style>
  <w:style w:type="paragraph" w:styleId="Heading1">
    <w:name w:val="heading 1"/>
    <w:basedOn w:val="Normal"/>
    <w:qFormat/>
    <w:pPr>
      <w:keepNext/>
      <w:keepLines/>
      <w:pBdr>
        <w:bottom w:val="single" w:sz="12" w:space="3" w:color="2C7A72"/>
      </w:pBdr>
      <w:spacing w:before="60" w:after="20"/>
      <w:outlineLvl w:val="0"/>
    </w:pPr>
    <w:rPr>
      <w:b/>
      <w:color w:val="121A29"/>
      <w:sz w:val="21"/>
      <w:szCs w:val="21"/>
    </w:rPr>
  </w:style>
  <w:style w:type="paragraph" w:styleId="StepNumber">
    <w:name w:val="Step number"/>
    <w:basedOn w:val="Normal"/>
    <w:qFormat/>
    <w:pPr>
      <w:spacing w:after="0"/>
    </w:pPr>
    <w:rPr>
      <w:b/>
      <w:color w:val="2C7A72"/>
      <w:sz w:val="22"/>
      <w:szCs w:val="22"/>
    </w:rPr>
  </w:style>
  <w:style w:type="paragraph" w:styleId="FactLabel">
    <w:name w:val="Field label"/>
    <w:basedOn w:val="Normal"/>
    <w:qFormat/>
    <w:pPr>
      <w:spacing w:after="0"/>
    </w:pPr>
    <w:rPr>
      <w:b/>
      <w:color w:val="596678"/>
      <w:sz w:val="18"/>
      <w:szCs w:val="18"/>
    </w:rPr>
  </w:style>
  <w:style w:type="paragraph" w:styleId="FactValue">
    <w:name w:val="Field value"/>
    <w:basedOn w:val="Normal"/>
    <w:qFormat/>
    <w:pPr>
      <w:spacing w:after="0"/>
    </w:pPr>
    <w:rPr>
      <w:color w:val="121A29"/>
      <w:sz w:val="19"/>
      <w:szCs w:val="19"/>
    </w:rPr>
  </w:style>
  <w:style w:type="paragraph" w:styleId="Prompt">
    <w:name w:val="Prompt"/>
    <w:basedOn w:val="Normal"/>
    <w:qFormat/>
    <w:pPr>
      <w:keepNext/>
      <w:spacing w:after="40"/>
    </w:pPr>
    <w:rPr>
      <w:sz w:val="17"/>
      <w:szCs w:val="17"/>
    </w:rPr>
  </w:style>
  <w:style w:type="paragraph" w:styleId="WriteLine">
    <w:name w:val="Line to write on"/>
    <w:basedOn w:val="Normal"/>
    <w:qFormat/>
    <w:pPr>
      <w:pBdr>
        <w:bottom w:val="single" w:sz="4" w:space="0" w:color="CCD6E0"/>
        <w:between w:val="single" w:sz="4" w:space="0" w:color="CCD6E0"/>
      </w:pBdr>
      <w:spacing w:after="0" w:line="320" w:lineRule="atLeast"/>
    </w:pPr>
    <w:rPr>
      <w:color w:val="121A29"/>
    </w:rPr>
  </w:style>
  <w:style w:type="paragraph" w:styleId="TableHead">
    <w:name w:val="Table heading"/>
    <w:basedOn w:val="Normal"/>
    <w:qFormat/>
    <w:pPr>
      <w:keepNext/>
      <w:spacing w:after="0"/>
    </w:pPr>
    <w:rPr>
      <w:b/>
      <w:color w:val="596678"/>
      <w:sz w:val="17"/>
      <w:szCs w:val="17"/>
    </w:rPr>
  </w:style>
  <w:style w:type="paragraph" w:styleId="TableText">
    <w:name w:val="Table text"/>
    <w:basedOn w:val="Normal"/>
    <w:qFormat/>
    <w:pPr>
      <w:spacing w:after="0"/>
    </w:pPr>
    <w:rPr>
      <w:color w:val="121A29"/>
      <w:sz w:val="17"/>
      <w:szCs w:val="17"/>
    </w:rPr>
  </w:style>
  <w:style w:type="paragraph" w:styleId="KeyCell">
    <w:name w:val="Key cell"/>
    <w:basedOn w:val="Normal"/>
    <w:qFormat/>
    <w:pPr>
      <w:keepNext/>
      <w:spacing w:after="0"/>
      <w:jc w:val="center"/>
    </w:pPr>
    <w:rPr>
      <w:sz w:val="16"/>
      <w:szCs w:val="16"/>
    </w:rPr>
  </w:style>
  <w:style w:type="paragraph" w:styleId="KeyLabel">
    <w:name w:val="Key label"/>
    <w:basedOn w:val="Normal"/>
    <w:qFormat/>
    <w:pPr>
      <w:keepNext/>
      <w:spacing w:after="0"/>
    </w:pPr>
    <w:rPr>
      <w:color w:val="596678"/>
      <w:sz w:val="16"/>
      <w:szCs w:val="16"/>
    </w:rPr>
  </w:style>
  <w:style w:type="paragraph" w:styleId="KeyNote">
    <w:name w:val="Key note"/>
    <w:basedOn w:val="Normal"/>
    <w:qFormat/>
    <w:rPr>
      <w:sz w:val="16"/>
      <w:szCs w:val="16"/>
    </w:rPr>
  </w:style>
  <w:style w:type="paragraph" w:styleId="Gap">
    <w:name w:val="Gap"/>
    <w:basedOn w:val="Normal"/>
    <w:qFormat/>
    <w:pPr>
      <w:spacing w:after="0" w:line="120" w:lineRule="exact"/>
    </w:pPr>
    <w:rPr>
      <w:sz w:val="4"/>
      <w:szCs w:val="4"/>
    </w:rPr>
  </w:style>
  <w:style w:type="paragraph" w:styleId="Header">
    <w:name w:val="header"/>
    <w:basedOn w:val="Normal"/>
    <w:qFormat/>
    <w:pPr>
      <w:spacing w:after="0"/>
    </w:pPr>
    <w:rPr>
      <w:sz w:val="17"/>
      <w:szCs w:val="17"/>
    </w:rPr>
  </w:style>
  <w:style w:type="paragraph" w:styleId="Footer">
    <w:name w:val="footer"/>
    <w:basedOn w:val="Normal"/>
    <w:qFormat/>
    <w:pPr>
      <w:spacing w:after="0"/>
    </w:pPr>
    <w:rPr>
      <w:color w:val="596678"/>
      <w:sz w:val="16"/>
      <w:szCs w:val="16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Numbering" Type="http://schemas.openxmlformats.org/officeDocument/2006/relationships/numbering" Target="numbering.xml"/><Relationship Id="rIdHeadFirst" Type="http://schemas.openxmlformats.org/officeDocument/2006/relationships/header" Target="header1.xml"/><Relationship Id="rIdHead" Type="http://schemas.openxmlformats.org/officeDocument/2006/relationships/header" Target="header2.xml"/><Relationship Id="rIdHeadWide" Type="http://schemas.openxmlformats.org/officeDocument/2006/relationships/header" Target="header3.xml"/><Relationship Id="rIdFootFirst" Type="http://schemas.openxmlformats.org/officeDocument/2006/relationships/footer" Target="footer1.xml"/><Relationship Id="rIdFoot" Type="http://schemas.openxmlformats.org/officeDocument/2006/relationships/footer" Target="footer2.xml"/><Relationship Id="rIdFootWide" Type="http://schemas.openxmlformats.org/officeDocument/2006/relationships/footer" Target="footer3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Two-storey rear extension on a lived-in semi: worked example construction phase plan</dc:title>
  <dc:subject>Worked example construction phase plan</dc:subject>
  <dc:creator>Hollins &amp; Reed Contracting Ltd</dc:creator>
  <dcterms:created xsi:type="dcterms:W3CDTF">2026-11-01T09:00:00Z</dcterms:created>
  <dcterms:modified xsi:type="dcterms:W3CDTF">2026-11-01T09:00:00Z</dcterms:modified>
</cp:coreProperties>
</file>