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CoverTitle"/>
      </w:pPr>
      <w:r>
        <w:t xml:space="preserve">Refurbishment construction phase plan</w:t>
      </w:r>
    </w:p>
    <w:p>
      <w:pPr>
        <w:pStyle w:val="FactLabel"/>
        <w:spacing w:after="120"/>
      </w:pPr>
      <w:r>
        <w:t xml:space="preserve">Worked example of a made-up job. Not a plan for a real site.</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evisions"/>
      </w:tblPr>
      <w:tblGrid>
        <w:gridCol w:w="768"/>
        <w:gridCol w:w="1536"/>
        <w:gridCol w:w="5377"/>
        <w:gridCol w:w="2304"/>
      </w:tblGrid>
      <w:tr>
        <w:trPr>
          <w:cantSplit/>
          <w:tblHeader/>
        </w:trPr>
        <w:tc>
          <w:tcPr>
            <w:tcW w:w="768" w:type="dxa"/>
            <w:shd w:val="clear" w:color="auto" w:fill="F6F8FA"/>
          </w:tcPr>
          <w:p>
            <w:pPr>
              <w:pStyle w:val="TableHead"/>
            </w:pPr>
            <w:r>
              <w:t xml:space="preserve">Rev</w:t>
            </w:r>
          </w:p>
        </w:tc>
        <w:tc>
          <w:tcPr>
            <w:tcW w:w="1536" w:type="dxa"/>
            <w:shd w:val="clear" w:color="auto" w:fill="F6F8FA"/>
          </w:tcPr>
          <w:p>
            <w:pPr>
              <w:pStyle w:val="TableHead"/>
            </w:pPr>
            <w:r>
              <w:t xml:space="preserve">Date</w:t>
            </w:r>
          </w:p>
        </w:tc>
        <w:tc>
          <w:tcPr>
            <w:tcW w:w="5377" w:type="dxa"/>
            <w:shd w:val="clear" w:color="auto" w:fill="F6F8FA"/>
          </w:tcPr>
          <w:p>
            <w:pPr>
              <w:pStyle w:val="TableHead"/>
            </w:pPr>
            <w:r>
              <w:t xml:space="preserve">What changed</w:t>
            </w:r>
          </w:p>
        </w:tc>
        <w:tc>
          <w:tcPr>
            <w:tcW w:w="2304" w:type="dxa"/>
            <w:shd w:val="clear" w:color="auto" w:fill="F6F8FA"/>
          </w:tcPr>
          <w:p>
            <w:pPr>
              <w:pStyle w:val="TableHead"/>
            </w:pPr>
            <w:r>
              <w:t xml:space="preserve">By</w:t>
            </w:r>
          </w:p>
        </w:tc>
      </w:tr>
      <w:tr>
        <w:trPr>
          <w:trHeight w:val="480" w:hRule="atLeast"/>
        </w:trPr>
        <w:tc>
          <w:tcPr>
            <w:tcW w:w="768" w:type="dxa"/>
          </w:tcPr>
          <w:p>
            <w:pPr>
              <w:pStyle w:val="TableText"/>
            </w:pPr>
            <w:r>
              <w:rPr>
                <w:sz w:val="17"/>
              </w:rPr>
              <w:t xml:space="preserve">0</w:t>
            </w:r>
          </w:p>
        </w:tc>
        <w:tc>
          <w:tcPr>
            <w:tcW w:w="1536" w:type="dxa"/>
          </w:tcPr>
          <w:p>
            <w:pPr>
              <w:pStyle w:val="TableText"/>
            </w:pPr>
            <w:r>
              <w:rPr>
                <w:sz w:val="17"/>
              </w:rPr>
              <w:t xml:space="preserve">19 December 2025</w:t>
            </w:r>
          </w:p>
        </w:tc>
        <w:tc>
          <w:tcPr>
            <w:tcW w:w="5377" w:type="dxa"/>
          </w:tcPr>
          <w:p>
            <w:pPr>
              <w:pStyle w:val="TableText"/>
            </w:pPr>
            <w:r>
              <w:rPr>
                <w:sz w:val="17"/>
              </w:rPr>
              <w:t xml:space="preserve">First issue</w:t>
            </w:r>
          </w:p>
        </w:tc>
        <w:tc>
          <w:tcPr>
            <w:tcW w:w="2304" w:type="dxa"/>
          </w:tcPr>
          <w:p>
            <w:pPr>
              <w:pStyle w:val="TableText"/>
            </w:pPr>
            <w:r>
              <w:rPr>
                <w:sz w:val="17"/>
              </w:rPr>
              <w:t xml:space="preserve">Dan Hollins</w:t>
            </w:r>
          </w:p>
        </w:tc>
      </w:tr>
      <w:tr>
        <w:trPr>
          <w:trHeight w:val="480" w:hRule="atLeast"/>
        </w:trPr>
        <w:tc>
          <w:tcPr>
            <w:tcW w:w="768" w:type="dxa"/>
          </w:tcPr>
          <w:p>
            <w:pPr>
              <w:pStyle w:val="TableText"/>
            </w:pPr>
            <w:r>
              <w:rPr>
                <w:sz w:val="17"/>
              </w:rPr>
              <w:t xml:space="preserve">1</w:t>
            </w:r>
          </w:p>
        </w:tc>
        <w:tc>
          <w:tcPr>
            <w:tcW w:w="1536" w:type="dxa"/>
          </w:tcPr>
          <w:p>
            <w:pPr>
              <w:pStyle w:val="TableText"/>
            </w:pPr>
            <w:r>
              <w:rPr>
                <w:sz w:val="17"/>
              </w:rPr>
              <w:t xml:space="preserve">7 January 2026</w:t>
            </w:r>
          </w:p>
        </w:tc>
        <w:tc>
          <w:tcPr>
            <w:tcW w:w="5377" w:type="dxa"/>
          </w:tcPr>
          <w:p>
            <w:pPr>
              <w:pStyle w:val="TableText"/>
            </w:pPr>
            <w:r>
              <w:rPr>
                <w:sz w:val="17"/>
              </w:rPr>
              <w:t xml:space="preserve">Cabins moved to the rear yard. Deliveries by the rear doors</w:t>
            </w:r>
          </w:p>
        </w:tc>
        <w:tc>
          <w:tcPr>
            <w:tcW w:w="2304" w:type="dxa"/>
          </w:tcPr>
          <w:p>
            <w:pPr>
              <w:pStyle w:val="TableText"/>
            </w:pPr>
            <w:r>
              <w:rPr>
                <w:sz w:val="17"/>
              </w:rPr>
              <w:t xml:space="preserve">Dan Hollins</w:t>
            </w:r>
          </w:p>
        </w:tc>
      </w:tr>
      <w:tr>
        <w:trPr>
          <w:trHeight w:val="480" w:hRule="atLeast"/>
        </w:trPr>
        <w:tc>
          <w:tcPr>
            <w:tcW w:w="768" w:type="dxa"/>
          </w:tcPr>
          <w:p>
            <w:pPr>
              <w:pStyle w:val="TableText"/>
            </w:pPr>
            <w:r>
              <w:rPr>
                <w:sz w:val="17"/>
              </w:rPr>
              <w:t xml:space="preserve">2</w:t>
            </w:r>
          </w:p>
        </w:tc>
        <w:tc>
          <w:tcPr>
            <w:tcW w:w="1536" w:type="dxa"/>
          </w:tcPr>
          <w:p>
            <w:pPr>
              <w:pStyle w:val="TableText"/>
            </w:pPr>
            <w:r>
              <w:rPr>
                <w:sz w:val="17"/>
              </w:rPr>
              <w:t xml:space="preserve">9 February 2026</w:t>
            </w:r>
          </w:p>
        </w:tc>
        <w:tc>
          <w:tcPr>
            <w:tcW w:w="5377" w:type="dxa"/>
          </w:tcPr>
          <w:p>
            <w:pPr>
              <w:pStyle w:val="TableText"/>
            </w:pPr>
            <w:r>
              <w:rPr>
                <w:sz w:val="17"/>
              </w:rPr>
              <w:t xml:space="preserve">Rear doors repaired one leaf at a time 10 to 13 February, so the exit stays open: board deliveries held to 16 February</w:t>
            </w:r>
          </w:p>
        </w:tc>
        <w:tc>
          <w:tcPr>
            <w:tcW w:w="2304" w:type="dxa"/>
          </w:tcPr>
          <w:p>
            <w:pPr>
              <w:pStyle w:val="TableText"/>
            </w:pPr>
            <w:r>
              <w:rPr>
                <w:sz w:val="17"/>
              </w:rPr>
              <w:t xml:space="preserve">Dan Hollins</w:t>
            </w:r>
          </w:p>
        </w:tc>
      </w:tr>
      <w:tr>
        <w:trPr>
          <w:trHeight w:val="480" w:hRule="atLeast"/>
        </w:trPr>
        <w:tc>
          <w:tcPr>
            <w:tcW w:w="768" w:type="dxa"/>
          </w:tcPr>
          <w:p>
            <w:pPr>
              <w:pStyle w:val="TableText"/>
            </w:pPr>
          </w:p>
        </w:tc>
        <w:tc>
          <w:tcPr>
            <w:tcW w:w="1536" w:type="dxa"/>
          </w:tcPr>
          <w:p>
            <w:pPr>
              <w:pStyle w:val="TableText"/>
            </w:pPr>
          </w:p>
        </w:tc>
        <w:tc>
          <w:tcPr>
            <w:tcW w:w="5377" w:type="dxa"/>
          </w:tcPr>
          <w:p>
            <w:pPr>
              <w:pStyle w:val="TableText"/>
            </w:pPr>
          </w:p>
        </w:tc>
        <w:tc>
          <w:tcPr>
            <w:tcW w:w="2304" w:type="dxa"/>
          </w:tcPr>
          <w:p>
            <w:pPr>
              <w:pStyle w:val="TableText"/>
            </w:pPr>
          </w:p>
        </w:tc>
      </w:tr>
    </w:tbl>
    <w:p>
      <w:pPr>
        <w:pStyle w:val="Gap"/>
      </w:pPr>
    </w:p>
    <w:p>
      <w:pPr>
        <w:pStyle w:val="Heading1"/>
        <w:pageBreakBefore/>
      </w:pPr>
      <w:r>
        <w:t xml:space="preserve">The project</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The project"/>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Contracting Ltd</w:t>
            </w:r>
          </w:p>
        </w:tc>
      </w:tr>
      <w:tr>
        <w:trPr>
          <w:trHeight w:val="410" w:hRule="atLeast"/>
        </w:trPr>
        <w:tc>
          <w:tcPr>
            <w:tcW w:w="2560" w:type="dxa"/>
          </w:tcPr>
          <w:p>
            <w:pPr>
              <w:pStyle w:val="FactLabel"/>
            </w:pPr>
            <w:r>
              <w:t xml:space="preserve">Client</w:t>
            </w:r>
          </w:p>
        </w:tc>
        <w:tc>
          <w:tcPr>
            <w:tcW w:w="7426" w:type="dxa"/>
          </w:tcPr>
          <w:p>
            <w:pPr>
              <w:pStyle w:val="FactValue"/>
            </w:pPr>
            <w:r>
              <w:t xml:space="preserve">Thornley Vale Estates Ltd</w:t>
            </w:r>
          </w:p>
        </w:tc>
      </w:tr>
      <w:tr>
        <w:trPr>
          <w:trHeight w:val="700" w:hRule="atLeast"/>
        </w:trPr>
        <w:tc>
          <w:tcPr>
            <w:tcW w:w="2560" w:type="dxa"/>
          </w:tcPr>
          <w:p>
            <w:pPr>
              <w:pStyle w:val="FactLabel"/>
            </w:pPr>
            <w:r>
              <w:t xml:space="preserve">Site address</w:t>
            </w:r>
          </w:p>
        </w:tc>
        <w:tc>
          <w:tcPr>
            <w:tcW w:w="7426" w:type="dxa"/>
          </w:tcPr>
          <w:p>
            <w:pPr>
              <w:pStyle w:val="FactValue"/>
            </w:pPr>
            <w:r>
              <w:t xml:space="preserve">Unit 7, Tanhouse Retail Park, Stockport</w:t>
            </w:r>
          </w:p>
        </w:tc>
      </w:tr>
      <w:tr>
        <w:trPr>
          <w:trHeight w:val="990" w:hRule="atLeast"/>
        </w:trPr>
        <w:tc>
          <w:tcPr>
            <w:tcW w:w="2560" w:type="dxa"/>
          </w:tcPr>
          <w:p>
            <w:pPr>
              <w:pStyle w:val="FactLabel"/>
            </w:pPr>
            <w:r>
              <w:t xml:space="preserve">Description of the work</w:t>
            </w:r>
          </w:p>
        </w:tc>
        <w:tc>
          <w:tcPr>
            <w:tcW w:w="7426" w:type="dxa"/>
          </w:tcPr>
          <w:p>
            <w:pPr>
              <w:pStyle w:val="FactValue"/>
            </w:pPr>
            <w:r>
              <w:t xml:space="preserve">Strip-out of a vacant, stand-alone, single-storey shop to the landlord’s shell, then fit-out with new services. Scheduled: 55 working days, 14 people at most, 560 person days.</w:t>
            </w:r>
          </w:p>
        </w:tc>
      </w:tr>
      <w:tr>
        <w:trPr>
          <w:trHeight w:val="410" w:hRule="atLeast"/>
        </w:trPr>
        <w:tc>
          <w:tcPr>
            <w:tcW w:w="2560" w:type="dxa"/>
          </w:tcPr>
          <w:p>
            <w:pPr>
              <w:pStyle w:val="FactLabel"/>
            </w:pPr>
            <w:r>
              <w:t xml:space="preserve">Principal designer</w:t>
            </w:r>
          </w:p>
        </w:tc>
        <w:tc>
          <w:tcPr>
            <w:tcW w:w="7426" w:type="dxa"/>
          </w:tcPr>
          <w:p>
            <w:pPr>
              <w:pStyle w:val="FactValue"/>
            </w:pPr>
            <w:r>
              <w:t xml:space="preserve">Greave Street Architects Ltd, appointed in writing 3 November 2025</w:t>
            </w:r>
          </w:p>
        </w:tc>
      </w:tr>
      <w:tr>
        <w:trPr>
          <w:trHeight w:val="410" w:hRule="atLeast"/>
        </w:trPr>
        <w:tc>
          <w:tcPr>
            <w:tcW w:w="2560" w:type="dxa"/>
          </w:tcPr>
          <w:p>
            <w:pPr>
              <w:pStyle w:val="FactLabel"/>
            </w:pPr>
            <w:r>
              <w:t xml:space="preserve">Principal contractor</w:t>
            </w:r>
          </w:p>
        </w:tc>
        <w:tc>
          <w:tcPr>
            <w:tcW w:w="7426" w:type="dxa"/>
          </w:tcPr>
          <w:p>
            <w:pPr>
              <w:pStyle w:val="FactValue"/>
            </w:pPr>
            <w:r>
              <w:t xml:space="preserve">Hollins &amp; Reed Contracting Ltd, appointed in writing 24 November 2025</w:t>
            </w:r>
          </w:p>
        </w:tc>
      </w:tr>
      <w:tr>
        <w:trPr>
          <w:trHeight w:val="700" w:hRule="atLeast"/>
        </w:trPr>
        <w:tc>
          <w:tcPr>
            <w:tcW w:w="2560" w:type="dxa"/>
          </w:tcPr>
          <w:p>
            <w:pPr>
              <w:pStyle w:val="FactLabel"/>
            </w:pPr>
            <w:r>
              <w:t xml:space="preserve">Other key team members</w:t>
            </w:r>
          </w:p>
        </w:tc>
        <w:tc>
          <w:tcPr>
            <w:tcW w:w="7426" w:type="dxa"/>
          </w:tcPr>
          <w:p>
            <w:pPr>
              <w:pStyle w:val="FactValue"/>
            </w:pPr>
            <w:r>
              <w:t xml:space="preserve">Site manager: Dan Hollins, 0161 496 0142. Assistant: Priya Shah. Client’s agent: Owen Tattersall, 0161 496 0188.</w:t>
            </w:r>
          </w:p>
        </w:tc>
      </w:tr>
      <w:tr>
        <w:trPr>
          <w:trHeight w:val="700" w:hRule="atLeast"/>
        </w:trPr>
        <w:tc>
          <w:tcPr>
            <w:tcW w:w="2560" w:type="dxa"/>
          </w:tcPr>
          <w:p>
            <w:pPr>
              <w:pStyle w:val="FactLabel"/>
            </w:pPr>
            <w:r>
              <w:t xml:space="preserve">Key dates</w:t>
            </w:r>
          </w:p>
        </w:tc>
        <w:tc>
          <w:tcPr>
            <w:tcW w:w="7426" w:type="dxa"/>
          </w:tcPr>
          <w:p>
            <w:pPr>
              <w:pStyle w:val="FactValue"/>
            </w:pPr>
            <w:r>
              <w:t xml:space="preserve">Start 12 January 2026. Strip-out done 30 January. First fix done 27 February. Handover 27 March 2026.</w:t>
            </w:r>
          </w:p>
        </w:tc>
      </w:tr>
      <w:tr>
        <w:trPr>
          <w:trHeight w:val="410" w:hRule="atLeast"/>
        </w:trPr>
        <w:tc>
          <w:tcPr>
            <w:tcW w:w="2560" w:type="dxa"/>
          </w:tcPr>
          <w:p>
            <w:pPr>
              <w:pStyle w:val="FactLabel"/>
            </w:pPr>
            <w:r>
              <w:t xml:space="preserve">Notified to HSE</w:t>
            </w:r>
          </w:p>
        </w:tc>
        <w:tc>
          <w:tcPr>
            <w:tcW w:w="7426" w:type="dxa"/>
          </w:tcPr>
          <w:p>
            <w:pPr>
              <w:pStyle w:val="FactValue"/>
            </w:pPr>
            <w:r>
              <w:t xml:space="preserve">Yes, 15 December 2025. Notice on the site office wall.</w:t>
            </w:r>
          </w:p>
        </w:tc>
      </w:tr>
    </w:tbl>
    <w:p>
      <w:pPr>
        <w:pStyle w:val="Gap"/>
      </w:pPr>
    </w:p>
    <w:p>
      <w:pPr>
        <w:pStyle w:val="Heading1"/>
      </w:pPr>
      <w:r>
        <w:t xml:space="preserve">Health and safety aims</w:t>
      </w:r>
    </w:p>
    <w:p>
      <w:pPr>
        <w:pStyle w:val="Prompt"/>
      </w:pPr>
      <w:r>
        <w:t xml:space="preserve">What this project aims for.</w:t>
      </w:r>
    </w:p>
    <w:p>
      <w:pPr>
        <w:pStyle w:val="WriteLine"/>
      </w:pPr>
      <w:r>
        <w:t xml:space="preserve">Nobody on the job is hurt or made ill by the work. Nobody from the car park gets onto the site. Anyone on site can stop work they think is unsafe, and will be backed for it.</w:t>
      </w:r>
    </w:p>
    <w:p>
      <w:pPr>
        <w:pStyle w:val="Gap"/>
      </w:pPr>
    </w:p>
    <w:p>
      <w:pPr>
        <w:pStyle w:val="Heading1"/>
      </w:pPr>
      <w:r>
        <w:t xml:space="preserve">Site rules</w:t>
      </w:r>
    </w:p>
    <w:p>
      <w:pPr>
        <w:pStyle w:val="Prompt"/>
      </w:pPr>
      <w:r>
        <w:t xml:space="preserve">Protective equipment, parking, radios and phones, smoking, restricted areas, hot works.</w:t>
      </w:r>
    </w:p>
    <w:p>
      <w:pPr>
        <w:pStyle w:val="WriteLine"/>
      </w:pPr>
      <w:r>
        <w:t xml:space="preserve">Nobody works until inducted and signed in. Boots and hi-vis on site; eye protection, gloves and masks as your RAMS says. Park in the rear yard. Keep the gates shut. Radios off. No phones on a tower or steps. No smoking or vaping on site. Nobody goes on the roof. Hot works only on a permit from Dan Hollins.</w:t>
      </w:r>
    </w:p>
    <w:p>
      <w:pPr>
        <w:pStyle w:val="Gap"/>
      </w:pPr>
    </w:p>
    <w:p>
      <w:pPr>
        <w:pStyle w:val="Heading1"/>
      </w:pPr>
      <w:r>
        <w:t xml:space="preserve">Contractors and specialists</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Contractors and specialists"/>
      </w:tblPr>
      <w:tblGrid>
        <w:gridCol w:w="3424"/>
        <w:gridCol w:w="2282"/>
        <w:gridCol w:w="2853"/>
        <w:gridCol w:w="1427"/>
      </w:tblGrid>
      <w:tr>
        <w:trPr>
          <w:cantSplit/>
          <w:tblHeader/>
        </w:trPr>
        <w:tc>
          <w:tcPr>
            <w:tcW w:w="3424" w:type="dxa"/>
            <w:shd w:val="clear" w:color="auto" w:fill="F6F8FA"/>
          </w:tcPr>
          <w:p>
            <w:pPr>
              <w:pStyle w:val="TableHead"/>
            </w:pPr>
            <w:r>
              <w:t xml:space="preserve">Company</w:t>
            </w:r>
          </w:p>
        </w:tc>
        <w:tc>
          <w:tcPr>
            <w:tcW w:w="2282" w:type="dxa"/>
            <w:shd w:val="clear" w:color="auto" w:fill="F6F8FA"/>
          </w:tcPr>
          <w:p>
            <w:pPr>
              <w:pStyle w:val="TableHead"/>
            </w:pPr>
            <w:r>
              <w:t xml:space="preserve">Trade</w:t>
            </w:r>
          </w:p>
        </w:tc>
        <w:tc>
          <w:tcPr>
            <w:tcW w:w="2853" w:type="dxa"/>
            <w:shd w:val="clear" w:color="auto" w:fill="F6F8FA"/>
          </w:tcPr>
          <w:p>
            <w:pPr>
              <w:pStyle w:val="TableHead"/>
            </w:pPr>
            <w:r>
              <w:t xml:space="preserve">Contact</w:t>
            </w:r>
          </w:p>
        </w:tc>
        <w:tc>
          <w:tcPr>
            <w:tcW w:w="1427" w:type="dxa"/>
            <w:shd w:val="clear" w:color="auto" w:fill="F6F8FA"/>
          </w:tcPr>
          <w:p>
            <w:pPr>
              <w:pStyle w:val="TableHead"/>
            </w:pPr>
            <w:r>
              <w:t xml:space="preserve">Start</w:t>
            </w:r>
          </w:p>
        </w:tc>
      </w:tr>
      <w:tr>
        <w:trPr>
          <w:trHeight w:val="520" w:hRule="atLeast"/>
        </w:trPr>
        <w:tc>
          <w:tcPr>
            <w:tcW w:w="3424" w:type="dxa"/>
          </w:tcPr>
          <w:p>
            <w:pPr>
              <w:pStyle w:val="TableText"/>
            </w:pPr>
            <w:r>
              <w:rPr>
                <w:sz w:val="17"/>
              </w:rPr>
              <w:t xml:space="preserve">Brinnington Soft Strip Ltd</w:t>
            </w:r>
          </w:p>
        </w:tc>
        <w:tc>
          <w:tcPr>
            <w:tcW w:w="2282" w:type="dxa"/>
          </w:tcPr>
          <w:p>
            <w:pPr>
              <w:pStyle w:val="TableText"/>
            </w:pPr>
            <w:r>
              <w:rPr>
                <w:sz w:val="17"/>
              </w:rPr>
              <w:t xml:space="preserve">Strip-out</w:t>
            </w:r>
          </w:p>
        </w:tc>
        <w:tc>
          <w:tcPr>
            <w:tcW w:w="2853" w:type="dxa"/>
          </w:tcPr>
          <w:p>
            <w:pPr>
              <w:pStyle w:val="TableText"/>
            </w:pPr>
            <w:r>
              <w:rPr>
                <w:sz w:val="17"/>
              </w:rPr>
              <w:t xml:space="preserve">Lee Bramhall, 0161 496 0151</w:t>
            </w:r>
          </w:p>
        </w:tc>
        <w:tc>
          <w:tcPr>
            <w:tcW w:w="1427" w:type="dxa"/>
          </w:tcPr>
          <w:p>
            <w:pPr>
              <w:pStyle w:val="TableText"/>
            </w:pPr>
            <w:r>
              <w:rPr>
                <w:sz w:val="17"/>
              </w:rPr>
              <w:t xml:space="preserve">12 January</w:t>
            </w:r>
          </w:p>
        </w:tc>
      </w:tr>
      <w:tr>
        <w:trPr>
          <w:trHeight w:val="520" w:hRule="atLeast"/>
        </w:trPr>
        <w:tc>
          <w:tcPr>
            <w:tcW w:w="3424" w:type="dxa"/>
          </w:tcPr>
          <w:p>
            <w:pPr>
              <w:pStyle w:val="TableText"/>
            </w:pPr>
            <w:r>
              <w:rPr>
                <w:sz w:val="17"/>
              </w:rPr>
              <w:t xml:space="preserve">Davenport Rise Electrical Ltd</w:t>
            </w:r>
          </w:p>
        </w:tc>
        <w:tc>
          <w:tcPr>
            <w:tcW w:w="2282" w:type="dxa"/>
          </w:tcPr>
          <w:p>
            <w:pPr>
              <w:pStyle w:val="TableText"/>
            </w:pPr>
            <w:r>
              <w:rPr>
                <w:sz w:val="17"/>
              </w:rPr>
              <w:t xml:space="preserve">Lighting and power</w:t>
            </w:r>
          </w:p>
        </w:tc>
        <w:tc>
          <w:tcPr>
            <w:tcW w:w="2853" w:type="dxa"/>
          </w:tcPr>
          <w:p>
            <w:pPr>
              <w:pStyle w:val="TableText"/>
            </w:pPr>
            <w:r>
              <w:rPr>
                <w:sz w:val="17"/>
              </w:rPr>
              <w:t xml:space="preserve">Callum Whittle, 0161 496 0152</w:t>
            </w:r>
          </w:p>
        </w:tc>
        <w:tc>
          <w:tcPr>
            <w:tcW w:w="1427" w:type="dxa"/>
          </w:tcPr>
          <w:p>
            <w:pPr>
              <w:pStyle w:val="TableText"/>
            </w:pPr>
            <w:r>
              <w:rPr>
                <w:sz w:val="17"/>
              </w:rPr>
              <w:t xml:space="preserve">12 January</w:t>
            </w:r>
          </w:p>
        </w:tc>
      </w:tr>
      <w:tr>
        <w:trPr>
          <w:trHeight w:val="520" w:hRule="atLeast"/>
        </w:trPr>
        <w:tc>
          <w:tcPr>
            <w:tcW w:w="3424" w:type="dxa"/>
          </w:tcPr>
          <w:p>
            <w:pPr>
              <w:pStyle w:val="TableText"/>
            </w:pPr>
            <w:r>
              <w:rPr>
                <w:sz w:val="17"/>
              </w:rPr>
              <w:t xml:space="preserve">Tanyard Air Ltd</w:t>
            </w:r>
          </w:p>
        </w:tc>
        <w:tc>
          <w:tcPr>
            <w:tcW w:w="2282" w:type="dxa"/>
          </w:tcPr>
          <w:p>
            <w:pPr>
              <w:pStyle w:val="TableText"/>
            </w:pPr>
            <w:r>
              <w:rPr>
                <w:sz w:val="17"/>
              </w:rPr>
              <w:t xml:space="preserve">Heating and ventilation</w:t>
            </w:r>
          </w:p>
        </w:tc>
        <w:tc>
          <w:tcPr>
            <w:tcW w:w="2853" w:type="dxa"/>
          </w:tcPr>
          <w:p>
            <w:pPr>
              <w:pStyle w:val="TableText"/>
            </w:pPr>
            <w:r>
              <w:rPr>
                <w:sz w:val="17"/>
              </w:rPr>
              <w:t xml:space="preserve">K Tunnicliffe, 0161 496 0153</w:t>
            </w:r>
          </w:p>
        </w:tc>
        <w:tc>
          <w:tcPr>
            <w:tcW w:w="1427" w:type="dxa"/>
          </w:tcPr>
          <w:p>
            <w:pPr>
              <w:pStyle w:val="TableText"/>
            </w:pPr>
            <w:r>
              <w:rPr>
                <w:sz w:val="17"/>
              </w:rPr>
              <w:t xml:space="preserve">19 January</w:t>
            </w:r>
          </w:p>
        </w:tc>
      </w:tr>
      <w:tr>
        <w:trPr>
          <w:trHeight w:val="520" w:hRule="atLeast"/>
        </w:trPr>
        <w:tc>
          <w:tcPr>
            <w:tcW w:w="3424" w:type="dxa"/>
          </w:tcPr>
          <w:p>
            <w:pPr>
              <w:pStyle w:val="TableText"/>
            </w:pPr>
            <w:r>
              <w:rPr>
                <w:sz w:val="17"/>
              </w:rPr>
              <w:t xml:space="preserve">Offerton Interiors Ltd</w:t>
            </w:r>
          </w:p>
        </w:tc>
        <w:tc>
          <w:tcPr>
            <w:tcW w:w="2282" w:type="dxa"/>
          </w:tcPr>
          <w:p>
            <w:pPr>
              <w:pStyle w:val="TableText"/>
            </w:pPr>
            <w:r>
              <w:rPr>
                <w:sz w:val="17"/>
              </w:rPr>
              <w:t xml:space="preserve">Partitions, ceilings, floors, decorating</w:t>
            </w:r>
          </w:p>
        </w:tc>
        <w:tc>
          <w:tcPr>
            <w:tcW w:w="2853" w:type="dxa"/>
          </w:tcPr>
          <w:p>
            <w:pPr>
              <w:pStyle w:val="TableText"/>
            </w:pPr>
            <w:r>
              <w:rPr>
                <w:sz w:val="17"/>
              </w:rPr>
              <w:t xml:space="preserve">Mark Etchells, 0161 496 0154</w:t>
            </w:r>
          </w:p>
        </w:tc>
        <w:tc>
          <w:tcPr>
            <w:tcW w:w="1427" w:type="dxa"/>
          </w:tcPr>
          <w:p>
            <w:pPr>
              <w:pStyle w:val="TableText"/>
            </w:pPr>
            <w:r>
              <w:rPr>
                <w:sz w:val="17"/>
              </w:rPr>
              <w:t xml:space="preserve">2 February</w:t>
            </w:r>
          </w:p>
        </w:tc>
      </w:tr>
      <w:tr>
        <w:trPr>
          <w:trHeight w:val="520" w:hRule="atLeast"/>
        </w:trPr>
        <w:tc>
          <w:tcPr>
            <w:tcW w:w="3424" w:type="dxa"/>
          </w:tcPr>
          <w:p>
            <w:pPr>
              <w:pStyle w:val="TableText"/>
            </w:pPr>
          </w:p>
        </w:tc>
        <w:tc>
          <w:tcPr>
            <w:tcW w:w="2282" w:type="dxa"/>
          </w:tcPr>
          <w:p>
            <w:pPr>
              <w:pStyle w:val="TableText"/>
            </w:pPr>
          </w:p>
        </w:tc>
        <w:tc>
          <w:tcPr>
            <w:tcW w:w="2853" w:type="dxa"/>
          </w:tcPr>
          <w:p>
            <w:pPr>
              <w:pStyle w:val="TableText"/>
            </w:pPr>
          </w:p>
        </w:tc>
        <w:tc>
          <w:tcPr>
            <w:tcW w:w="1427" w:type="dxa"/>
          </w:tcPr>
          <w:p>
            <w:pPr>
              <w:pStyle w:val="TableText"/>
            </w:pPr>
          </w:p>
        </w:tc>
      </w:tr>
      <w:tr>
        <w:trPr>
          <w:trHeight w:val="520" w:hRule="atLeast"/>
        </w:trPr>
        <w:tc>
          <w:tcPr>
            <w:tcW w:w="3424" w:type="dxa"/>
          </w:tcPr>
          <w:p>
            <w:pPr>
              <w:pStyle w:val="TableText"/>
            </w:pPr>
          </w:p>
        </w:tc>
        <w:tc>
          <w:tcPr>
            <w:tcW w:w="2282" w:type="dxa"/>
          </w:tcPr>
          <w:p>
            <w:pPr>
              <w:pStyle w:val="TableText"/>
            </w:pPr>
          </w:p>
        </w:tc>
        <w:tc>
          <w:tcPr>
            <w:tcW w:w="2853" w:type="dxa"/>
          </w:tcPr>
          <w:p>
            <w:pPr>
              <w:pStyle w:val="TableText"/>
            </w:pPr>
          </w:p>
        </w:tc>
        <w:tc>
          <w:tcPr>
            <w:tcW w:w="1427" w:type="dxa"/>
          </w:tcPr>
          <w:p>
            <w:pPr>
              <w:pStyle w:val="TableText"/>
            </w:pPr>
          </w:p>
        </w:tc>
      </w:tr>
      <w:tr>
        <w:trPr>
          <w:trHeight w:val="520" w:hRule="atLeast"/>
        </w:trPr>
        <w:tc>
          <w:tcPr>
            <w:tcW w:w="3424" w:type="dxa"/>
          </w:tcPr>
          <w:p>
            <w:pPr>
              <w:pStyle w:val="TableText"/>
            </w:pPr>
          </w:p>
        </w:tc>
        <w:tc>
          <w:tcPr>
            <w:tcW w:w="2282" w:type="dxa"/>
          </w:tcPr>
          <w:p>
            <w:pPr>
              <w:pStyle w:val="TableText"/>
            </w:pPr>
          </w:p>
        </w:tc>
        <w:tc>
          <w:tcPr>
            <w:tcW w:w="2853" w:type="dxa"/>
          </w:tcPr>
          <w:p>
            <w:pPr>
              <w:pStyle w:val="TableText"/>
            </w:pPr>
          </w:p>
        </w:tc>
        <w:tc>
          <w:tcPr>
            <w:tcW w:w="1427" w:type="dxa"/>
          </w:tcPr>
          <w:p>
            <w:pPr>
              <w:pStyle w:val="TableText"/>
            </w:pPr>
          </w:p>
        </w:tc>
      </w:tr>
      <w:tr>
        <w:trPr>
          <w:trHeight w:val="520" w:hRule="atLeast"/>
        </w:trPr>
        <w:tc>
          <w:tcPr>
            <w:tcW w:w="3424" w:type="dxa"/>
          </w:tcPr>
          <w:p>
            <w:pPr>
              <w:pStyle w:val="TableText"/>
            </w:pPr>
          </w:p>
        </w:tc>
        <w:tc>
          <w:tcPr>
            <w:tcW w:w="2282" w:type="dxa"/>
          </w:tcPr>
          <w:p>
            <w:pPr>
              <w:pStyle w:val="TableText"/>
            </w:pPr>
          </w:p>
        </w:tc>
        <w:tc>
          <w:tcPr>
            <w:tcW w:w="2853" w:type="dxa"/>
          </w:tcPr>
          <w:p>
            <w:pPr>
              <w:pStyle w:val="TableText"/>
            </w:pPr>
          </w:p>
        </w:tc>
        <w:tc>
          <w:tcPr>
            <w:tcW w:w="1427" w:type="dxa"/>
          </w:tcPr>
          <w:p>
            <w:pPr>
              <w:pStyle w:val="TableText"/>
            </w:pPr>
          </w:p>
        </w:tc>
      </w:tr>
    </w:tbl>
    <w:p>
      <w:pPr>
        <w:pStyle w:val="Gap"/>
      </w:pPr>
    </w:p>
    <w:p>
      <w:pPr>
        <w:pStyle w:val="Heading1"/>
      </w:pPr>
      <w:r>
        <w:t xml:space="preserve">Working together</w:t>
      </w:r>
    </w:p>
    <w:p>
      <w:pPr>
        <w:pStyle w:val="Prompt"/>
      </w:pPr>
      <w:r>
        <w:t xml:space="preserve">How contractors cooperate and coordinate, regular site meetings, and how workers are involved.</w:t>
      </w:r>
    </w:p>
    <w:p>
      <w:pPr>
        <w:pStyle w:val="WriteLine"/>
      </w:pPr>
      <w:r>
        <w:t xml:space="preserve">Site meeting for all contractors every Monday at 08:00, chaired by Dan Hollins. Handover at 16:30 each day: who is where tomorrow. Each contractor gives Dan Hollins its RAMS before starting, and he checks it against the work around it. Workers raise anything at the Monday meeting or with their foreman, and a note of what was done goes up on the site board in the office.</w:t>
      </w:r>
    </w:p>
    <w:p>
      <w:pPr>
        <w:pStyle w:val="Gap"/>
      </w:pPr>
    </w:p>
    <w:p>
      <w:pPr>
        <w:pStyle w:val="Heading1"/>
      </w:pPr>
      <w:r>
        <w:t xml:space="preserve">Site induction</w:t>
      </w:r>
    </w:p>
    <w:p>
      <w:pPr>
        <w:pStyle w:val="Prompt"/>
      </w:pPr>
      <w:r>
        <w:t xml:space="preserve">Specific to this site: the particular risks here and how they are controlled.</w:t>
      </w:r>
    </w:p>
    <w:p>
      <w:pPr>
        <w:pStyle w:val="WriteLine"/>
      </w:pPr>
      <w:r>
        <w:t xml:space="preserve">Given by Dan Hollins or Priya Shah before anyone starts. It covers the job, who runs it, first aid, reporting accidents, daily talks, how to raise a concern, the exits, the fire points, dust and the permit for hot works. Visitors get a short version and stay with an escort.</w:t>
      </w:r>
    </w:p>
    <w:p>
      <w:pPr>
        <w:pStyle w:val="Gap"/>
      </w:pPr>
    </w:p>
    <w:p>
      <w:pPr>
        <w:pStyle w:val="Heading1"/>
      </w:pPr>
      <w:r>
        <w:t xml:space="preserve">Induction record</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Induction record"/>
      </w:tblPr>
      <w:tblGrid>
        <w:gridCol w:w="3138"/>
        <w:gridCol w:w="3138"/>
        <w:gridCol w:w="1427"/>
        <w:gridCol w:w="2282"/>
      </w:tblGrid>
      <w:tr>
        <w:trPr>
          <w:cantSplit/>
          <w:tblHeader/>
        </w:trPr>
        <w:tc>
          <w:tcPr>
            <w:tcW w:w="3138" w:type="dxa"/>
            <w:shd w:val="clear" w:color="auto" w:fill="F6F8FA"/>
          </w:tcPr>
          <w:p>
            <w:pPr>
              <w:pStyle w:val="TableHead"/>
            </w:pPr>
            <w:r>
              <w:t xml:space="preserve">Name</w:t>
            </w:r>
          </w:p>
        </w:tc>
        <w:tc>
          <w:tcPr>
            <w:tcW w:w="3138" w:type="dxa"/>
            <w:shd w:val="clear" w:color="auto" w:fill="F6F8FA"/>
          </w:tcPr>
          <w:p>
            <w:pPr>
              <w:pStyle w:val="TableHead"/>
            </w:pPr>
            <w:r>
              <w:t xml:space="preserve">Company</w:t>
            </w:r>
          </w:p>
        </w:tc>
        <w:tc>
          <w:tcPr>
            <w:tcW w:w="1427" w:type="dxa"/>
            <w:shd w:val="clear" w:color="auto" w:fill="F6F8FA"/>
          </w:tcPr>
          <w:p>
            <w:pPr>
              <w:pStyle w:val="TableHead"/>
            </w:pPr>
            <w:r>
              <w:t xml:space="preserve">Date</w:t>
            </w:r>
          </w:p>
        </w:tc>
        <w:tc>
          <w:tcPr>
            <w:tcW w:w="2282" w:type="dxa"/>
            <w:shd w:val="clear" w:color="auto" w:fill="F6F8FA"/>
          </w:tcPr>
          <w:p>
            <w:pPr>
              <w:pStyle w:val="TableHead"/>
            </w:pPr>
            <w:r>
              <w:t xml:space="preserve">Signed</w:t>
            </w:r>
          </w:p>
        </w:tc>
      </w:tr>
      <w:tr>
        <w:trPr>
          <w:trHeight w:val="520" w:hRule="atLeast"/>
        </w:trPr>
        <w:tc>
          <w:tcPr>
            <w:tcW w:w="3138" w:type="dxa"/>
          </w:tcPr>
          <w:p>
            <w:pPr>
              <w:pStyle w:val="TableText"/>
            </w:pPr>
            <w:r>
              <w:rPr>
                <w:sz w:val="17"/>
              </w:rPr>
              <w:t xml:space="preserve">Dan Hollins</w:t>
            </w:r>
          </w:p>
        </w:tc>
        <w:tc>
          <w:tcPr>
            <w:tcW w:w="3138" w:type="dxa"/>
          </w:tcPr>
          <w:p>
            <w:pPr>
              <w:pStyle w:val="TableText"/>
            </w:pPr>
            <w:r>
              <w:rPr>
                <w:sz w:val="17"/>
              </w:rPr>
              <w:t xml:space="preserve">Hollins &amp; Reed Contracting Ltd</w:t>
            </w:r>
          </w:p>
        </w:tc>
        <w:tc>
          <w:tcPr>
            <w:tcW w:w="1427" w:type="dxa"/>
          </w:tcPr>
          <w:p>
            <w:pPr>
              <w:pStyle w:val="TableText"/>
            </w:pPr>
            <w:r>
              <w:rPr>
                <w:sz w:val="17"/>
              </w:rPr>
              <w:t xml:space="preserve">12 Jan 2026</w:t>
            </w:r>
          </w:p>
        </w:tc>
        <w:tc>
          <w:tcPr>
            <w:tcW w:w="2282" w:type="dxa"/>
          </w:tcPr>
          <w:p>
            <w:pPr>
              <w:pStyle w:val="TableText"/>
            </w:pPr>
            <w:r>
              <w:rPr>
                <w:sz w:val="17"/>
              </w:rPr>
              <w:t xml:space="preserve">D Hollins</w:t>
            </w:r>
          </w:p>
        </w:tc>
      </w:tr>
      <w:tr>
        <w:trPr>
          <w:trHeight w:val="520" w:hRule="atLeast"/>
        </w:trPr>
        <w:tc>
          <w:tcPr>
            <w:tcW w:w="3138" w:type="dxa"/>
          </w:tcPr>
          <w:p>
            <w:pPr>
              <w:pStyle w:val="TableText"/>
            </w:pPr>
            <w:r>
              <w:rPr>
                <w:sz w:val="17"/>
              </w:rPr>
              <w:t xml:space="preserve">Priya Shah</w:t>
            </w:r>
          </w:p>
        </w:tc>
        <w:tc>
          <w:tcPr>
            <w:tcW w:w="3138" w:type="dxa"/>
          </w:tcPr>
          <w:p>
            <w:pPr>
              <w:pStyle w:val="TableText"/>
            </w:pPr>
            <w:r>
              <w:rPr>
                <w:sz w:val="17"/>
              </w:rPr>
              <w:t xml:space="preserve">Hollins &amp; Reed Contracting Ltd</w:t>
            </w:r>
          </w:p>
        </w:tc>
        <w:tc>
          <w:tcPr>
            <w:tcW w:w="1427" w:type="dxa"/>
          </w:tcPr>
          <w:p>
            <w:pPr>
              <w:pStyle w:val="TableText"/>
            </w:pPr>
            <w:r>
              <w:rPr>
                <w:sz w:val="17"/>
              </w:rPr>
              <w:t xml:space="preserve">12 Jan 2026</w:t>
            </w:r>
          </w:p>
        </w:tc>
        <w:tc>
          <w:tcPr>
            <w:tcW w:w="2282" w:type="dxa"/>
          </w:tcPr>
          <w:p>
            <w:pPr>
              <w:pStyle w:val="TableText"/>
            </w:pPr>
            <w:r>
              <w:rPr>
                <w:sz w:val="17"/>
              </w:rPr>
              <w:t xml:space="preserve">P Shah</w:t>
            </w:r>
          </w:p>
        </w:tc>
      </w:tr>
      <w:tr>
        <w:trPr>
          <w:trHeight w:val="520" w:hRule="atLeast"/>
        </w:trPr>
        <w:tc>
          <w:tcPr>
            <w:tcW w:w="3138" w:type="dxa"/>
          </w:tcPr>
          <w:p>
            <w:pPr>
              <w:pStyle w:val="TableText"/>
            </w:pPr>
            <w:r>
              <w:rPr>
                <w:sz w:val="17"/>
              </w:rPr>
              <w:t xml:space="preserve">Reece Ollerton</w:t>
            </w:r>
          </w:p>
        </w:tc>
        <w:tc>
          <w:tcPr>
            <w:tcW w:w="3138" w:type="dxa"/>
          </w:tcPr>
          <w:p>
            <w:pPr>
              <w:pStyle w:val="TableText"/>
            </w:pPr>
            <w:r>
              <w:rPr>
                <w:sz w:val="17"/>
              </w:rPr>
              <w:t xml:space="preserve">Hollins &amp; Reed Contracting Ltd</w:t>
            </w:r>
          </w:p>
        </w:tc>
        <w:tc>
          <w:tcPr>
            <w:tcW w:w="1427" w:type="dxa"/>
          </w:tcPr>
          <w:p>
            <w:pPr>
              <w:pStyle w:val="TableText"/>
            </w:pPr>
            <w:r>
              <w:rPr>
                <w:sz w:val="17"/>
              </w:rPr>
              <w:t xml:space="preserve">12 Jan 2026</w:t>
            </w:r>
          </w:p>
        </w:tc>
        <w:tc>
          <w:tcPr>
            <w:tcW w:w="2282" w:type="dxa"/>
          </w:tcPr>
          <w:p>
            <w:pPr>
              <w:pStyle w:val="TableText"/>
            </w:pPr>
            <w:r>
              <w:rPr>
                <w:sz w:val="17"/>
              </w:rPr>
              <w:t xml:space="preserve">R Ollerton</w:t>
            </w:r>
          </w:p>
        </w:tc>
      </w:tr>
      <w:tr>
        <w:trPr>
          <w:trHeight w:val="520" w:hRule="atLeast"/>
        </w:trPr>
        <w:tc>
          <w:tcPr>
            <w:tcW w:w="3138" w:type="dxa"/>
          </w:tcPr>
          <w:p>
            <w:pPr>
              <w:pStyle w:val="TableText"/>
            </w:pPr>
            <w:r>
              <w:rPr>
                <w:sz w:val="17"/>
              </w:rPr>
              <w:t xml:space="preserve">Lee Bramhall</w:t>
            </w:r>
          </w:p>
        </w:tc>
        <w:tc>
          <w:tcPr>
            <w:tcW w:w="3138" w:type="dxa"/>
          </w:tcPr>
          <w:p>
            <w:pPr>
              <w:pStyle w:val="TableText"/>
            </w:pPr>
            <w:r>
              <w:rPr>
                <w:sz w:val="17"/>
              </w:rPr>
              <w:t xml:space="preserve">Brinnington Soft Strip Ltd</w:t>
            </w:r>
          </w:p>
        </w:tc>
        <w:tc>
          <w:tcPr>
            <w:tcW w:w="1427" w:type="dxa"/>
          </w:tcPr>
          <w:p>
            <w:pPr>
              <w:pStyle w:val="TableText"/>
            </w:pPr>
            <w:r>
              <w:rPr>
                <w:sz w:val="17"/>
              </w:rPr>
              <w:t xml:space="preserve">12 Jan 2026</w:t>
            </w:r>
          </w:p>
        </w:tc>
        <w:tc>
          <w:tcPr>
            <w:tcW w:w="2282" w:type="dxa"/>
          </w:tcPr>
          <w:p>
            <w:pPr>
              <w:pStyle w:val="TableText"/>
            </w:pPr>
            <w:r>
              <w:rPr>
                <w:sz w:val="17"/>
              </w:rPr>
              <w:t xml:space="preserve">L Bramhall</w:t>
            </w:r>
          </w:p>
        </w:tc>
      </w:tr>
      <w:tr>
        <w:trPr>
          <w:trHeight w:val="520" w:hRule="atLeast"/>
        </w:trPr>
        <w:tc>
          <w:tcPr>
            <w:tcW w:w="3138" w:type="dxa"/>
          </w:tcPr>
          <w:p>
            <w:pPr>
              <w:pStyle w:val="TableText"/>
            </w:pPr>
            <w:r>
              <w:rPr>
                <w:sz w:val="17"/>
              </w:rPr>
              <w:t xml:space="preserve">Callum Whittle</w:t>
            </w:r>
          </w:p>
        </w:tc>
        <w:tc>
          <w:tcPr>
            <w:tcW w:w="3138" w:type="dxa"/>
          </w:tcPr>
          <w:p>
            <w:pPr>
              <w:pStyle w:val="TableText"/>
            </w:pPr>
            <w:r>
              <w:rPr>
                <w:sz w:val="17"/>
              </w:rPr>
              <w:t xml:space="preserve">Davenport Rise Electrical Ltd</w:t>
            </w:r>
          </w:p>
        </w:tc>
        <w:tc>
          <w:tcPr>
            <w:tcW w:w="1427" w:type="dxa"/>
          </w:tcPr>
          <w:p>
            <w:pPr>
              <w:pStyle w:val="TableText"/>
            </w:pPr>
            <w:r>
              <w:rPr>
                <w:sz w:val="17"/>
              </w:rPr>
              <w:t xml:space="preserve">12 Jan 2026</w:t>
            </w:r>
          </w:p>
        </w:tc>
        <w:tc>
          <w:tcPr>
            <w:tcW w:w="2282" w:type="dxa"/>
          </w:tcPr>
          <w:p>
            <w:pPr>
              <w:pStyle w:val="TableText"/>
            </w:pPr>
            <w:r>
              <w:rPr>
                <w:sz w:val="17"/>
              </w:rPr>
              <w:t xml:space="preserve">C Whittle</w:t>
            </w:r>
          </w:p>
        </w:tc>
      </w:tr>
      <w:tr>
        <w:trPr>
          <w:trHeight w:val="520" w:hRule="atLeast"/>
        </w:trPr>
        <w:tc>
          <w:tcPr>
            <w:tcW w:w="3138" w:type="dxa"/>
          </w:tcPr>
          <w:p>
            <w:pPr>
              <w:pStyle w:val="TableText"/>
            </w:pPr>
            <w:r>
              <w:rPr>
                <w:sz w:val="17"/>
              </w:rPr>
              <w:t xml:space="preserve">Owen Tattersall (visitor)</w:t>
            </w:r>
          </w:p>
        </w:tc>
        <w:tc>
          <w:tcPr>
            <w:tcW w:w="3138" w:type="dxa"/>
          </w:tcPr>
          <w:p>
            <w:pPr>
              <w:pStyle w:val="TableText"/>
            </w:pPr>
            <w:r>
              <w:rPr>
                <w:sz w:val="17"/>
              </w:rPr>
              <w:t xml:space="preserve">Thornley Vale Estates Ltd</w:t>
            </w:r>
          </w:p>
        </w:tc>
        <w:tc>
          <w:tcPr>
            <w:tcW w:w="1427" w:type="dxa"/>
          </w:tcPr>
          <w:p>
            <w:pPr>
              <w:pStyle w:val="TableText"/>
            </w:pPr>
            <w:r>
              <w:rPr>
                <w:sz w:val="17"/>
              </w:rPr>
              <w:t xml:space="preserve">14 Jan 2026</w:t>
            </w:r>
          </w:p>
        </w:tc>
        <w:tc>
          <w:tcPr>
            <w:tcW w:w="2282" w:type="dxa"/>
          </w:tcPr>
          <w:p>
            <w:pPr>
              <w:pStyle w:val="TableText"/>
            </w:pPr>
            <w:r>
              <w:rPr>
                <w:sz w:val="17"/>
              </w:rPr>
              <w:t xml:space="preserve">O Tattersall</w:t>
            </w:r>
          </w:p>
        </w:tc>
      </w:tr>
      <w:tr>
        <w:trPr>
          <w:trHeight w:val="520" w:hRule="atLeast"/>
        </w:trPr>
        <w:tc>
          <w:tcPr>
            <w:tcW w:w="3138" w:type="dxa"/>
          </w:tcPr>
          <w:p>
            <w:pPr>
              <w:pStyle w:val="TableText"/>
            </w:pPr>
            <w:r>
              <w:rPr>
                <w:sz w:val="17"/>
              </w:rPr>
              <w:t xml:space="preserve">Kieran Tunnicliffe</w:t>
            </w:r>
          </w:p>
        </w:tc>
        <w:tc>
          <w:tcPr>
            <w:tcW w:w="3138" w:type="dxa"/>
          </w:tcPr>
          <w:p>
            <w:pPr>
              <w:pStyle w:val="TableText"/>
            </w:pPr>
            <w:r>
              <w:rPr>
                <w:sz w:val="17"/>
              </w:rPr>
              <w:t xml:space="preserve">Tanyard Air Ltd</w:t>
            </w:r>
          </w:p>
        </w:tc>
        <w:tc>
          <w:tcPr>
            <w:tcW w:w="1427" w:type="dxa"/>
          </w:tcPr>
          <w:p>
            <w:pPr>
              <w:pStyle w:val="TableText"/>
            </w:pPr>
            <w:r>
              <w:rPr>
                <w:sz w:val="17"/>
              </w:rPr>
              <w:t xml:space="preserve">19 Jan 2026</w:t>
            </w:r>
          </w:p>
        </w:tc>
        <w:tc>
          <w:tcPr>
            <w:tcW w:w="2282" w:type="dxa"/>
          </w:tcPr>
          <w:p>
            <w:pPr>
              <w:pStyle w:val="TableText"/>
            </w:pPr>
            <w:r>
              <w:rPr>
                <w:sz w:val="17"/>
              </w:rPr>
              <w:t xml:space="preserve">K Tunnicliffe</w:t>
            </w:r>
          </w:p>
        </w:tc>
      </w:tr>
      <w:tr>
        <w:trPr>
          <w:trHeight w:val="520" w:hRule="atLeast"/>
        </w:trPr>
        <w:tc>
          <w:tcPr>
            <w:tcW w:w="3138" w:type="dxa"/>
          </w:tcPr>
          <w:p>
            <w:pPr>
              <w:pStyle w:val="TableText"/>
            </w:pPr>
            <w:r>
              <w:rPr>
                <w:sz w:val="17"/>
              </w:rPr>
              <w:t xml:space="preserve">Mark Etchells</w:t>
            </w:r>
          </w:p>
        </w:tc>
        <w:tc>
          <w:tcPr>
            <w:tcW w:w="3138" w:type="dxa"/>
          </w:tcPr>
          <w:p>
            <w:pPr>
              <w:pStyle w:val="TableText"/>
            </w:pPr>
            <w:r>
              <w:rPr>
                <w:sz w:val="17"/>
              </w:rPr>
              <w:t xml:space="preserve">Offerton Interiors Ltd</w:t>
            </w:r>
          </w:p>
        </w:tc>
        <w:tc>
          <w:tcPr>
            <w:tcW w:w="1427" w:type="dxa"/>
          </w:tcPr>
          <w:p>
            <w:pPr>
              <w:pStyle w:val="TableText"/>
            </w:pPr>
            <w:r>
              <w:rPr>
                <w:sz w:val="17"/>
              </w:rPr>
              <w:t xml:space="preserve">2 Feb 2026</w:t>
            </w:r>
          </w:p>
        </w:tc>
        <w:tc>
          <w:tcPr>
            <w:tcW w:w="2282" w:type="dxa"/>
          </w:tcPr>
          <w:p>
            <w:pPr>
              <w:pStyle w:val="TableText"/>
            </w:pPr>
            <w:r>
              <w:rPr>
                <w:sz w:val="17"/>
              </w:rPr>
              <w:t xml:space="preserve">M Etchells</w:t>
            </w:r>
          </w:p>
        </w:tc>
      </w:tr>
      <w:tr>
        <w:trPr>
          <w:trHeight w:val="520" w:hRule="atLeast"/>
        </w:trPr>
        <w:tc>
          <w:tcPr>
            <w:tcW w:w="3138" w:type="dxa"/>
          </w:tcPr>
          <w:p>
            <w:pPr>
              <w:pStyle w:val="TableText"/>
            </w:pPr>
          </w:p>
        </w:tc>
        <w:tc>
          <w:tcPr>
            <w:tcW w:w="3138" w:type="dxa"/>
          </w:tcPr>
          <w:p>
            <w:pPr>
              <w:pStyle w:val="TableText"/>
            </w:pPr>
          </w:p>
        </w:tc>
        <w:tc>
          <w:tcPr>
            <w:tcW w:w="1427" w:type="dxa"/>
          </w:tcPr>
          <w:p>
            <w:pPr>
              <w:pStyle w:val="TableText"/>
            </w:pPr>
          </w:p>
        </w:tc>
        <w:tc>
          <w:tcPr>
            <w:tcW w:w="2282" w:type="dxa"/>
          </w:tcPr>
          <w:p>
            <w:pPr>
              <w:pStyle w:val="TableText"/>
            </w:pPr>
          </w:p>
        </w:tc>
      </w:tr>
      <w:tr>
        <w:trPr>
          <w:trHeight w:val="520" w:hRule="atLeast"/>
        </w:trPr>
        <w:tc>
          <w:tcPr>
            <w:tcW w:w="3138" w:type="dxa"/>
          </w:tcPr>
          <w:p>
            <w:pPr>
              <w:pStyle w:val="TableText"/>
            </w:pPr>
          </w:p>
        </w:tc>
        <w:tc>
          <w:tcPr>
            <w:tcW w:w="3138" w:type="dxa"/>
          </w:tcPr>
          <w:p>
            <w:pPr>
              <w:pStyle w:val="TableText"/>
            </w:pPr>
          </w:p>
        </w:tc>
        <w:tc>
          <w:tcPr>
            <w:tcW w:w="1427" w:type="dxa"/>
          </w:tcPr>
          <w:p>
            <w:pPr>
              <w:pStyle w:val="TableText"/>
            </w:pPr>
          </w:p>
        </w:tc>
        <w:tc>
          <w:tcPr>
            <w:tcW w:w="2282" w:type="dxa"/>
          </w:tcPr>
          <w:p>
            <w:pPr>
              <w:pStyle w:val="TableText"/>
            </w:pPr>
          </w:p>
        </w:tc>
      </w:tr>
      <w:tr>
        <w:trPr>
          <w:trHeight w:val="520" w:hRule="atLeast"/>
        </w:trPr>
        <w:tc>
          <w:tcPr>
            <w:tcW w:w="3138" w:type="dxa"/>
          </w:tcPr>
          <w:p>
            <w:pPr>
              <w:pStyle w:val="TableText"/>
            </w:pPr>
          </w:p>
        </w:tc>
        <w:tc>
          <w:tcPr>
            <w:tcW w:w="3138" w:type="dxa"/>
          </w:tcPr>
          <w:p>
            <w:pPr>
              <w:pStyle w:val="TableText"/>
            </w:pPr>
          </w:p>
        </w:tc>
        <w:tc>
          <w:tcPr>
            <w:tcW w:w="1427" w:type="dxa"/>
          </w:tcPr>
          <w:p>
            <w:pPr>
              <w:pStyle w:val="TableText"/>
            </w:pPr>
          </w:p>
        </w:tc>
        <w:tc>
          <w:tcPr>
            <w:tcW w:w="2282" w:type="dxa"/>
          </w:tcPr>
          <w:p>
            <w:pPr>
              <w:pStyle w:val="TableText"/>
            </w:pPr>
          </w:p>
        </w:tc>
      </w:tr>
      <w:tr>
        <w:trPr>
          <w:trHeight w:val="520" w:hRule="atLeast"/>
        </w:trPr>
        <w:tc>
          <w:tcPr>
            <w:tcW w:w="3138" w:type="dxa"/>
          </w:tcPr>
          <w:p>
            <w:pPr>
              <w:pStyle w:val="TableText"/>
            </w:pPr>
          </w:p>
        </w:tc>
        <w:tc>
          <w:tcPr>
            <w:tcW w:w="3138" w:type="dxa"/>
          </w:tcPr>
          <w:p>
            <w:pPr>
              <w:pStyle w:val="TableText"/>
            </w:pPr>
          </w:p>
        </w:tc>
        <w:tc>
          <w:tcPr>
            <w:tcW w:w="1427" w:type="dxa"/>
          </w:tcPr>
          <w:p>
            <w:pPr>
              <w:pStyle w:val="TableText"/>
            </w:pPr>
          </w:p>
        </w:tc>
        <w:tc>
          <w:tcPr>
            <w:tcW w:w="2282" w:type="dxa"/>
          </w:tcPr>
          <w:p>
            <w:pPr>
              <w:pStyle w:val="TableText"/>
            </w:pPr>
          </w:p>
        </w:tc>
      </w:tr>
    </w:tbl>
    <w:p>
      <w:pPr>
        <w:pStyle w:val="Gap"/>
      </w:pPr>
    </w:p>
    <w:p>
      <w:pPr>
        <w:pStyle w:val="Heading1"/>
      </w:pPr>
      <w:r>
        <w:t xml:space="preserve">Welfare facilities</w:t>
      </w:r>
    </w:p>
    <w:p>
      <w:pPr>
        <w:pStyle w:val="Prompt"/>
      </w:pPr>
      <w:r>
        <w:t xml:space="preserve">Toilets, washing, drinking water, changing and rest.</w:t>
      </w:r>
    </w:p>
    <w:p>
      <w:pPr>
        <w:pStyle w:val="WriteLine"/>
      </w:pPr>
      <w:r>
        <w:t xml:space="preserve">Hired cabins in the rear yard, on mains water and drainage, in place before 12 January: site office, two flushing toilets, basins with hot water, soap, towels, drinking water, lockers and drying, and a heated rest room with tables, chairs with backs, kettle and microwave.</w:t>
      </w:r>
    </w:p>
    <w:p>
      <w:pPr>
        <w:pStyle w:val="Gap"/>
      </w:pPr>
    </w:p>
    <w:p>
      <w:pPr>
        <w:pStyle w:val="Heading1"/>
      </w:pPr>
      <w:r>
        <w:t xml:space="preserve">Fire and emergency procedures</w:t>
      </w:r>
    </w:p>
    <w:p>
      <w:pPr>
        <w:pStyle w:val="Prompt"/>
      </w:pPr>
      <w:r>
        <w:t xml:space="preserve">What happens in a fire or other emergency.</w:t>
      </w:r>
    </w:p>
    <w:p>
      <w:pPr>
        <w:pStyle w:val="WriteLine"/>
      </w:pPr>
      <w:r>
        <w:t xml:space="preserve">The wired-in alarm stays on as long as possible; temporary linked call points and sounders go in before it comes out. Fire point at each exit. On the alarm, leave to the yard gate. Priya Shah checks the signing-in sheet. Exits stay clear. First aiders: Dan, Priya. Ring 999, then Dan.</w:t>
      </w:r>
    </w:p>
    <w:p>
      <w:pPr>
        <w:pStyle w:val="Gap"/>
      </w:pPr>
    </w:p>
    <w:p>
      <w:pPr>
        <w:pStyle w:val="Heading1"/>
      </w:pPr>
      <w:r>
        <w:t xml:space="preserve">Work involving particular risks</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Work involving particular risks"/>
      </w:tblPr>
      <w:tblGrid>
        <w:gridCol w:w="3934"/>
        <w:gridCol w:w="2118"/>
        <w:gridCol w:w="3934"/>
      </w:tblGrid>
      <w:tr>
        <w:trPr>
          <w:cantSplit/>
          <w:tblHeader/>
        </w:trPr>
        <w:tc>
          <w:tcPr>
            <w:tcW w:w="3934" w:type="dxa"/>
            <w:shd w:val="clear" w:color="auto" w:fill="F6F8FA"/>
          </w:tcPr>
          <w:p>
            <w:pPr>
              <w:pStyle w:val="TableHead"/>
            </w:pPr>
            <w:r>
              <w:t xml:space="preserve">Work</w:t>
            </w:r>
          </w:p>
        </w:tc>
        <w:tc>
          <w:tcPr>
            <w:tcW w:w="2118" w:type="dxa"/>
            <w:shd w:val="clear" w:color="auto" w:fill="F6F8FA"/>
          </w:tcPr>
          <w:p>
            <w:pPr>
              <w:pStyle w:val="TableHead"/>
            </w:pPr>
            <w:r>
              <w:t xml:space="preserve">Where it arises</w:t>
            </w:r>
          </w:p>
        </w:tc>
        <w:tc>
          <w:tcPr>
            <w:tcW w:w="3934" w:type="dxa"/>
            <w:shd w:val="clear" w:color="auto" w:fill="F6F8FA"/>
          </w:tcPr>
          <w:p>
            <w:pPr>
              <w:pStyle w:val="TableHead"/>
            </w:pPr>
            <w:r>
              <w:t xml:space="preserve">The measures</w:t>
            </w:r>
          </w:p>
        </w:tc>
      </w:tr>
      <w:tr>
        <w:trPr>
          <w:trHeight w:val="680" w:hRule="atLeast"/>
        </w:trPr>
        <w:tc>
          <w:tcPr>
            <w:tcW w:w="3934" w:type="dxa"/>
          </w:tcPr>
          <w:p>
            <w:pPr>
              <w:pStyle w:val="TableText"/>
            </w:pPr>
            <w:r>
              <w:rPr>
                <w:b/>
              </w:rPr>
              <w:t xml:space="preserve">Burial, engulfment or falling from a height, particularly aggravated by the work or the site</w:t>
            </w:r>
          </w:p>
        </w:tc>
        <w:tc>
          <w:tcPr>
            <w:tcW w:w="2118" w:type="dxa"/>
          </w:tcPr>
          <w:p>
            <w:pPr>
              <w:pStyle w:val="TableText"/>
            </w:pPr>
            <w:r>
              <w:rPr>
                <w:sz w:val="17"/>
              </w:rPr>
              <w:t xml:space="preserve">Not on this job</w:t>
            </w:r>
          </w:p>
        </w:tc>
        <w:tc>
          <w:tcPr>
            <w:tcW w:w="3934" w:type="dxa"/>
          </w:tcPr>
          <w:p>
            <w:pPr>
              <w:pStyle w:val="TableText"/>
            </w:pPr>
            <w:r>
              <w:rPr>
                <w:sz w:val="17"/>
              </w:rPr>
              <w:t xml:space="preserve">Single storey: no floor edge, floor void, riser or shaft. Tower and step work only. Nobody goes on the roof.</w:t>
            </w:r>
          </w:p>
        </w:tc>
      </w:tr>
      <w:tr>
        <w:trPr>
          <w:trHeight w:val="680" w:hRule="atLeast"/>
        </w:trPr>
        <w:tc>
          <w:tcPr>
            <w:tcW w:w="3934" w:type="dxa"/>
          </w:tcPr>
          <w:p>
            <w:pPr>
              <w:pStyle w:val="TableText"/>
            </w:pPr>
            <w:r>
              <w:rPr>
                <w:b/>
              </w:rPr>
              <w:t xml:space="preserve">Chemical or biological substances of particular danger, or needing health monitoring</w:t>
            </w:r>
          </w:p>
        </w:tc>
        <w:tc>
          <w:tcPr>
            <w:tcW w:w="2118" w:type="dxa"/>
          </w:tcPr>
          <w:p>
            <w:pPr>
              <w:pStyle w:val="TableText"/>
            </w:pPr>
            <w:r>
              <w:rPr>
                <w:sz w:val="17"/>
              </w:rPr>
              <w:t xml:space="preserve">Yes: drilling concrete and cutting blockwork</w:t>
            </w:r>
          </w:p>
        </w:tc>
        <w:tc>
          <w:tcPr>
            <w:tcW w:w="3934" w:type="dxa"/>
          </w:tcPr>
          <w:p>
            <w:pPr>
              <w:pStyle w:val="TableText"/>
            </w:pPr>
            <w:r>
              <w:rPr>
                <w:sz w:val="17"/>
              </w:rPr>
              <w:t xml:space="preserve">Extraction, masks, COSHH assessments, health checks where needed. Asbestos survey: none found. If unsure, stop.</w:t>
            </w:r>
          </w:p>
        </w:tc>
      </w:tr>
      <w:tr>
        <w:trPr>
          <w:trHeight w:val="680" w:hRule="atLeast"/>
        </w:trPr>
        <w:tc>
          <w:tcPr>
            <w:tcW w:w="3934" w:type="dxa"/>
          </w:tcPr>
          <w:p>
            <w:pPr>
              <w:pStyle w:val="TableText"/>
            </w:pPr>
            <w:r>
              <w:rPr>
                <w:b/>
              </w:rPr>
              <w:t xml:space="preserve">Ionising radiation with controlled or supervised areas</w:t>
            </w:r>
          </w:p>
        </w:tc>
        <w:tc>
          <w:tcPr>
            <w:tcW w:w="2118" w:type="dxa"/>
          </w:tcPr>
          <w:p>
            <w:pPr>
              <w:pStyle w:val="TableText"/>
            </w:pPr>
            <w:r>
              <w:rPr>
                <w:sz w:val="17"/>
              </w:rPr>
              <w:t xml:space="preserve">Not on this job</w:t>
            </w:r>
          </w:p>
        </w:tc>
        <w:tc>
          <w:tcPr>
            <w:tcW w:w="3934" w:type="dxa"/>
          </w:tcPr>
          <w:p>
            <w:pPr>
              <w:pStyle w:val="TableText"/>
            </w:pPr>
            <w:r>
              <w:rPr>
                <w:sz w:val="17"/>
              </w:rPr>
              <w:t xml:space="preserve">No radiography or similar work.</w:t>
            </w:r>
          </w:p>
        </w:tc>
      </w:tr>
      <w:tr>
        <w:trPr>
          <w:trHeight w:val="680" w:hRule="atLeast"/>
        </w:trPr>
        <w:tc>
          <w:tcPr>
            <w:tcW w:w="3934" w:type="dxa"/>
          </w:tcPr>
          <w:p>
            <w:pPr>
              <w:pStyle w:val="TableText"/>
            </w:pPr>
            <w:r>
              <w:rPr>
                <w:b/>
              </w:rPr>
              <w:t xml:space="preserve">Near high voltage power lines</w:t>
            </w:r>
          </w:p>
        </w:tc>
        <w:tc>
          <w:tcPr>
            <w:tcW w:w="2118" w:type="dxa"/>
          </w:tcPr>
          <w:p>
            <w:pPr>
              <w:pStyle w:val="TableText"/>
            </w:pPr>
            <w:r>
              <w:rPr>
                <w:sz w:val="17"/>
              </w:rPr>
              <w:t xml:space="preserve">Not on this job</w:t>
            </w:r>
          </w:p>
        </w:tc>
        <w:tc>
          <w:tcPr>
            <w:tcW w:w="3934" w:type="dxa"/>
          </w:tcPr>
          <w:p>
            <w:pPr>
              <w:pStyle w:val="TableText"/>
            </w:pPr>
            <w:r>
              <w:rPr>
                <w:sz w:val="17"/>
              </w:rPr>
              <w:t xml:space="preserve">No overhead lines over the unit or the yard.</w:t>
            </w:r>
          </w:p>
        </w:tc>
      </w:tr>
      <w:tr>
        <w:trPr>
          <w:trHeight w:val="680" w:hRule="atLeast"/>
        </w:trPr>
        <w:tc>
          <w:tcPr>
            <w:tcW w:w="3934" w:type="dxa"/>
          </w:tcPr>
          <w:p>
            <w:pPr>
              <w:pStyle w:val="TableText"/>
            </w:pPr>
            <w:r>
              <w:rPr>
                <w:b/>
              </w:rPr>
              <w:t xml:space="preserve">Risk of drowning</w:t>
            </w:r>
          </w:p>
        </w:tc>
        <w:tc>
          <w:tcPr>
            <w:tcW w:w="2118" w:type="dxa"/>
          </w:tcPr>
          <w:p>
            <w:pPr>
              <w:pStyle w:val="TableText"/>
            </w:pPr>
            <w:r>
              <w:rPr>
                <w:sz w:val="17"/>
              </w:rPr>
              <w:t xml:space="preserve">Not on this job</w:t>
            </w:r>
          </w:p>
        </w:tc>
        <w:tc>
          <w:tcPr>
            <w:tcW w:w="3934" w:type="dxa"/>
          </w:tcPr>
          <w:p>
            <w:pPr>
              <w:pStyle w:val="TableText"/>
            </w:pPr>
            <w:r>
              <w:rPr>
                <w:sz w:val="17"/>
              </w:rPr>
              <w:t xml:space="preserve">All work is indoors, with no water nearby.</w:t>
            </w:r>
          </w:p>
        </w:tc>
      </w:tr>
      <w:tr>
        <w:trPr>
          <w:trHeight w:val="680" w:hRule="atLeast"/>
        </w:trPr>
        <w:tc>
          <w:tcPr>
            <w:tcW w:w="3934" w:type="dxa"/>
          </w:tcPr>
          <w:p>
            <w:pPr>
              <w:pStyle w:val="TableText"/>
            </w:pPr>
            <w:r>
              <w:rPr>
                <w:b/>
              </w:rPr>
              <w:t xml:space="preserve">Wells, underground earthworks and tunnels</w:t>
            </w:r>
          </w:p>
        </w:tc>
        <w:tc>
          <w:tcPr>
            <w:tcW w:w="2118" w:type="dxa"/>
          </w:tcPr>
          <w:p>
            <w:pPr>
              <w:pStyle w:val="TableText"/>
            </w:pPr>
            <w:r>
              <w:rPr>
                <w:sz w:val="17"/>
              </w:rPr>
              <w:t xml:space="preserve">Not on this job</w:t>
            </w:r>
          </w:p>
        </w:tc>
        <w:tc>
          <w:tcPr>
            <w:tcW w:w="3934" w:type="dxa"/>
          </w:tcPr>
          <w:p>
            <w:pPr>
              <w:pStyle w:val="TableText"/>
            </w:pPr>
            <w:r>
              <w:rPr>
                <w:sz w:val="17"/>
              </w:rPr>
              <w:t xml:space="preserve">Nothing is dug.</w:t>
            </w:r>
          </w:p>
        </w:tc>
      </w:tr>
      <w:tr>
        <w:trPr>
          <w:trHeight w:val="680" w:hRule="atLeast"/>
        </w:trPr>
        <w:tc>
          <w:tcPr>
            <w:tcW w:w="3934" w:type="dxa"/>
          </w:tcPr>
          <w:p>
            <w:pPr>
              <w:pStyle w:val="TableText"/>
            </w:pPr>
            <w:r>
              <w:rPr>
                <w:b/>
              </w:rPr>
              <w:t xml:space="preserve">Divers on a system of air supply</w:t>
            </w:r>
          </w:p>
        </w:tc>
        <w:tc>
          <w:tcPr>
            <w:tcW w:w="2118" w:type="dxa"/>
          </w:tcPr>
          <w:p>
            <w:pPr>
              <w:pStyle w:val="TableText"/>
            </w:pPr>
            <w:r>
              <w:rPr>
                <w:sz w:val="17"/>
              </w:rPr>
              <w:t xml:space="preserve">Not on this job</w:t>
            </w:r>
          </w:p>
        </w:tc>
        <w:tc>
          <w:tcPr>
            <w:tcW w:w="3934" w:type="dxa"/>
          </w:tcPr>
          <w:p>
            <w:pPr>
              <w:pStyle w:val="TableText"/>
            </w:pPr>
            <w:r>
              <w:rPr>
                <w:sz w:val="17"/>
              </w:rPr>
              <w:t xml:space="preserve">No work in water.</w:t>
            </w:r>
          </w:p>
        </w:tc>
      </w:tr>
      <w:tr>
        <w:trPr>
          <w:trHeight w:val="680" w:hRule="atLeast"/>
        </w:trPr>
        <w:tc>
          <w:tcPr>
            <w:tcW w:w="3934" w:type="dxa"/>
          </w:tcPr>
          <w:p>
            <w:pPr>
              <w:pStyle w:val="TableText"/>
            </w:pPr>
            <w:r>
              <w:rPr>
                <w:b/>
              </w:rPr>
              <w:t xml:space="preserve">Caissons with a compressed air atmosphere</w:t>
            </w:r>
          </w:p>
        </w:tc>
        <w:tc>
          <w:tcPr>
            <w:tcW w:w="2118" w:type="dxa"/>
          </w:tcPr>
          <w:p>
            <w:pPr>
              <w:pStyle w:val="TableText"/>
            </w:pPr>
            <w:r>
              <w:rPr>
                <w:sz w:val="17"/>
              </w:rPr>
              <w:t xml:space="preserve">Not on this job</w:t>
            </w:r>
          </w:p>
        </w:tc>
        <w:tc>
          <w:tcPr>
            <w:tcW w:w="3934" w:type="dxa"/>
          </w:tcPr>
          <w:p>
            <w:pPr>
              <w:pStyle w:val="TableText"/>
            </w:pPr>
            <w:r>
              <w:rPr>
                <w:sz w:val="17"/>
              </w:rPr>
              <w:t xml:space="preserve">No caissons.</w:t>
            </w:r>
          </w:p>
        </w:tc>
      </w:tr>
      <w:tr>
        <w:trPr>
          <w:trHeight w:val="680" w:hRule="atLeast"/>
        </w:trPr>
        <w:tc>
          <w:tcPr>
            <w:tcW w:w="3934" w:type="dxa"/>
          </w:tcPr>
          <w:p>
            <w:pPr>
              <w:pStyle w:val="TableText"/>
            </w:pPr>
            <w:r>
              <w:rPr>
                <w:b/>
              </w:rPr>
              <w:t xml:space="preserve">Explosives</w:t>
            </w:r>
          </w:p>
        </w:tc>
        <w:tc>
          <w:tcPr>
            <w:tcW w:w="2118" w:type="dxa"/>
          </w:tcPr>
          <w:p>
            <w:pPr>
              <w:pStyle w:val="TableText"/>
            </w:pPr>
            <w:r>
              <w:rPr>
                <w:sz w:val="17"/>
              </w:rPr>
              <w:t xml:space="preserve">Not on this job</w:t>
            </w:r>
          </w:p>
        </w:tc>
        <w:tc>
          <w:tcPr>
            <w:tcW w:w="3934" w:type="dxa"/>
          </w:tcPr>
          <w:p>
            <w:pPr>
              <w:pStyle w:val="TableText"/>
            </w:pPr>
            <w:r>
              <w:rPr>
                <w:sz w:val="17"/>
              </w:rPr>
              <w:t xml:space="preserve">No explosives or cartridge tools.</w:t>
            </w:r>
          </w:p>
        </w:tc>
      </w:tr>
      <w:tr>
        <w:trPr>
          <w:trHeight w:val="680" w:hRule="atLeast"/>
        </w:trPr>
        <w:tc>
          <w:tcPr>
            <w:tcW w:w="3934" w:type="dxa"/>
          </w:tcPr>
          <w:p>
            <w:pPr>
              <w:pStyle w:val="TableText"/>
            </w:pPr>
            <w:r>
              <w:rPr>
                <w:b/>
              </w:rPr>
              <w:t xml:space="preserve">Assembly or dismantling of heavy prefabricated components</w:t>
            </w:r>
          </w:p>
        </w:tc>
        <w:tc>
          <w:tcPr>
            <w:tcW w:w="2118" w:type="dxa"/>
          </w:tcPr>
          <w:p>
            <w:pPr>
              <w:pStyle w:val="TableText"/>
            </w:pPr>
            <w:r>
              <w:rPr>
                <w:sz w:val="17"/>
              </w:rPr>
              <w:t xml:space="preserve">Not on this job</w:t>
            </w:r>
          </w:p>
        </w:tc>
        <w:tc>
          <w:tcPr>
            <w:tcW w:w="3934" w:type="dxa"/>
          </w:tcPr>
          <w:p>
            <w:pPr>
              <w:pStyle w:val="TableText"/>
            </w:pPr>
            <w:r>
              <w:rPr>
                <w:sz w:val="17"/>
              </w:rPr>
              <w:t xml:space="preserve">No crane. Everything comes through the rear doors in pieces.</w:t>
            </w:r>
          </w:p>
        </w:tc>
      </w:tr>
    </w:tbl>
    <w:p>
      <w:pPr>
        <w:pStyle w:val="Gap"/>
      </w:pPr>
    </w:p>
    <w:p>
      <w:pPr>
        <w:pStyle w:val="Heading1"/>
      </w:pPr>
      <w:r>
        <w:t xml:space="preserve">Review and revision</w:t>
      </w:r>
    </w:p>
    <w:p>
      <w:pPr>
        <w:pStyle w:val="Prompt"/>
      </w:pPr>
      <w:r>
        <w:t xml:space="preserve">When the plan is reviewed, and any significant change.</w:t>
      </w:r>
    </w:p>
    <w:p>
      <w:pPr>
        <w:pStyle w:val="WriteLine"/>
      </w:pPr>
      <w:r>
        <w:t xml:space="preserve">Dan Hollins reviews the plan after each Monday meeting, and whenever the work, the trades or the access change. A new revision goes to every contractor and to the principal designer, and the table on the cover says what changed.</w:t>
      </w:r>
    </w:p>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made-up job. Not a plan for a real site.</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made-up job. Not a plan for a real site.</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made-up job. Not a plan for a real site.</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2C7A72"/>
      </w:pBdr>
      <w:tabs>
        <w:tab w:val="right" w:pos="9986"/>
      </w:tabs>
    </w:pPr>
    <w:r>
      <w:tab/>
    </w:r>
    <w:r>
      <w:rPr>
        <w:b/>
        <w:color w:val="121A29"/>
        <w:sz w:val="22"/>
      </w:rPr>
      <w:t xml:space="preserve">Hollins &amp; Reed Contracting Ltd</w:t>
    </w: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2C7A72"/>
        <w:bottom w:val="single" w:sz="4" w:space="4" w:color="CCD6E0"/>
      </w:pBdr>
      <w:tabs>
        <w:tab w:val="right" w:pos="9986"/>
      </w:tabs>
    </w:pPr>
    <w:fldSimple w:instr=" STYLEREF &quot;Cover title&quot; ">
      <w:r>
        <w:rPr>
          <w:b/>
          <w:color w:val="596678"/>
        </w:rPr>
        <w:t xml:space="preserve">Refurbishment construction phase plan</w:t>
      </w:r>
    </w:fldSimple>
    <w:r>
      <w:tab/>
    </w:r>
    <w:r>
      <w:rPr>
        <w:b/>
        <w:color w:val="121A29"/>
        <w:sz w:val="17"/>
      </w:rPr>
      <w:t xml:space="preserve">Hollins &amp; Reed Contracting Ltd</w:t>
    </w:r>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2C7A72"/>
        <w:bottom w:val="single" w:sz="4" w:space="4" w:color="CCD6E0"/>
      </w:pBdr>
      <w:tabs>
        <w:tab w:val="right" w:pos="14918"/>
      </w:tabs>
    </w:pPr>
    <w:fldSimple w:instr=" STYLEREF &quot;Cover title&quot; ">
      <w:r>
        <w:rPr>
          <w:b/>
          <w:color w:val="596678"/>
        </w:rPr>
        <w:t xml:space="preserve">Refurbishment construction phase plan</w:t>
      </w:r>
    </w:fldSimple>
    <w:r>
      <w:tab/>
    </w:r>
    <w:r>
      <w:rPr>
        <w:b/>
        <w:color w:val="121A29"/>
        <w:sz w:val="17"/>
      </w:rPr>
      <w:t xml:space="preserve">Hollins &amp; Reed Contracting Ltd</w:t>
    </w:r>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2C7A72"/>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2C7A72"/>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2C7A72"/>
      </w:pBdr>
      <w:spacing w:before="280" w:after="160"/>
      <w:outlineLvl w:val="0"/>
    </w:pPr>
    <w:rPr>
      <w:b/>
      <w:color w:val="121A29"/>
      <w:sz w:val="28"/>
      <w:szCs w:val="28"/>
    </w:rPr>
  </w:style>
  <w:style w:type="paragraph" w:styleId="StepNumber">
    <w:name w:val="Step number"/>
    <w:basedOn w:val="Normal"/>
    <w:qFormat/>
    <w:pPr>
      <w:spacing w:after="0"/>
    </w:pPr>
    <w:rPr>
      <w:b/>
      <w:color w:val="2C7A72"/>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Prompt">
    <w:name w:val="Prompt"/>
    <w:basedOn w:val="Normal"/>
    <w:qFormat/>
    <w:pPr>
      <w:keepNext/>
      <w:spacing w:after="40"/>
    </w:pPr>
  </w:style>
  <w:style w:type="paragraph" w:styleId="WriteLine">
    <w:name w:val="Line to write on"/>
    <w:basedOn w:val="Normal"/>
    <w:qFormat/>
    <w:pPr>
      <w:pBdr>
        <w:bottom w:val="single" w:sz="4" w:space="0" w:color="CCD6E0"/>
        <w:between w:val="single" w:sz="4" w:space="0" w:color="CCD6E0"/>
      </w:pBdr>
      <w:spacing w:after="0" w:line="420" w:lineRule="atLeast"/>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Strip-out and fit-out of a vacant single-storey retail unit: worked example construction phase plan</dc:title>
  <dc:subject>Worked example construction phase plan</dc:subject>
  <dc:creator>Hollins &amp; Reed Contracting Ltd</dc:creator>
  <dcterms:created xsi:type="dcterms:W3CDTF">2026-11-01T09:00:00Z</dcterms:created>
  <dcterms:modified xsi:type="dcterms:W3CDTF">2026-11-01T09:00:00Z</dcterms:modified>
</cp:coreProperties>
</file>