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Eyebrow"/>
      </w:pPr>
      <w:r>
        <w:t xml:space="preserve">WORKED EXAMPLE: METHOD STATEMENT</w:t>
      </w:r>
    </w:p>
    <w:p>
      <w:pPr>
        <w:pStyle w:val="Title"/>
      </w:pPr>
      <w:r>
        <w:t xml:space="preserve">Repainting occupied offices</w:t>
      </w:r>
    </w:p>
    <w:p>
      <w:pPr>
        <w:pStyle w:val="FactLabel"/>
        <w:spacing w:after="120"/>
      </w:pPr>
      <w:r>
        <w:t xml:space="preserve">Worked example of a method statement. Change it to fit your job before you use it.</w:t>
      </w:r>
    </w:p>
    <w:p>
      <w:pPr>
        <w:pStyle w:val="Heading1"/>
      </w:pPr>
      <w:r>
        <w:t xml:space="preserve">Job details</w:t>
      </w:r>
    </w:p>
    <w:tbl>
      <w:tblPr>
        <w:tblW w:w="9986" w:type="dxa"/>
        <w:tblBorders>
          <w:top w:val="single" w:sz="4" w:space="0" w:color="CCD6E0"/>
          <w:bottom w:val="single" w:sz="4" w:space="0" w:color="CCD6E0"/>
          <w:insideH w:val="single" w:sz="4" w:space="0" w:color="CCD6E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20" w:firstRow="1" w:lastRow="0" w:firstColumn="0" w:lastColumn="0" w:noHBand="0" w:noVBand="1"/>
        <w:tblCaption w:val="Job details"/>
      </w:tblPr>
      <w:tblGrid>
        <w:gridCol w:w="2560"/>
        <w:gridCol w:w="7426"/>
      </w:tblGrid>
      <w:tr>
        <w:trPr>
          <w:trHeight w:val="410" w:hRule="atLeast"/>
        </w:trPr>
        <w:tc>
          <w:tcPr>
            <w:tcW w:w="2560" w:type="dxa"/>
          </w:tcPr>
          <w:p>
            <w:pPr>
              <w:pStyle w:val="FactLabel"/>
            </w:pPr>
            <w:r>
              <w:t xml:space="preserve">Company</w:t>
            </w:r>
          </w:p>
        </w:tc>
        <w:tc>
          <w:tcPr>
            <w:tcW w:w="7426" w:type="dxa"/>
          </w:tcPr>
          <w:p>
            <w:pPr>
              <w:pStyle w:val="FactValue"/>
            </w:pPr>
            <w:r>
              <w:t xml:space="preserve">Hollins &amp; Reed Decorating Ltd</w:t>
            </w:r>
          </w:p>
        </w:tc>
      </w:tr>
      <w:tr>
        <w:trPr>
          <w:trHeight w:val="410" w:hRule="atLeast"/>
        </w:trPr>
        <w:tc>
          <w:tcPr>
            <w:tcW w:w="2560" w:type="dxa"/>
          </w:tcPr>
          <w:p>
            <w:pPr>
              <w:pStyle w:val="FactLabel"/>
            </w:pPr>
            <w:r>
              <w:t xml:space="preserve">Site and work area</w:t>
            </w:r>
          </w:p>
        </w:tc>
        <w:tc>
          <w:tcPr>
            <w:tcW w:w="7426" w:type="dxa"/>
          </w:tcPr>
          <w:p>
            <w:pPr>
              <w:pStyle w:val="FactValue"/>
            </w:pPr>
            <w:r>
              <w:t xml:space="preserve">Second floor offices, 14 Mill Street, Stockport</w:t>
            </w:r>
          </w:p>
        </w:tc>
      </w:tr>
      <w:tr>
        <w:trPr>
          <w:trHeight w:val="410" w:hRule="atLeast"/>
        </w:trPr>
        <w:tc>
          <w:tcPr>
            <w:tcW w:w="2560" w:type="dxa"/>
          </w:tcPr>
          <w:p>
            <w:pPr>
              <w:pStyle w:val="FactLabel"/>
            </w:pPr>
            <w:r>
              <w:t xml:space="preserve">Planned dates</w:t>
            </w:r>
          </w:p>
        </w:tc>
        <w:tc>
          <w:tcPr>
            <w:tcW w:w="7426" w:type="dxa"/>
          </w:tcPr>
          <w:p>
            <w:pPr>
              <w:pStyle w:val="FactValue"/>
            </w:pPr>
            <w:r>
              <w:t xml:space="preserve">12 to 14 October 2026</w:t>
            </w:r>
          </w:p>
        </w:tc>
      </w:tr>
      <w:tr>
        <w:trPr>
          <w:trHeight w:val="410" w:hRule="atLeast"/>
        </w:trPr>
        <w:tc>
          <w:tcPr>
            <w:tcW w:w="2560" w:type="dxa"/>
          </w:tcPr>
          <w:p>
            <w:pPr>
              <w:pStyle w:val="FactLabel"/>
            </w:pPr>
            <w:r>
              <w:t xml:space="preserve">Customer</w:t>
            </w:r>
          </w:p>
        </w:tc>
        <w:tc>
          <w:tcPr>
            <w:tcW w:w="7426" w:type="dxa"/>
          </w:tcPr>
          <w:p>
            <w:pPr>
              <w:pStyle w:val="FactValue"/>
            </w:pPr>
            <w:r>
              <w:t xml:space="preserve">Thornley Vale Estates Ltd</w:t>
            </w:r>
          </w:p>
        </w:tc>
      </w:tr>
      <w:tr>
        <w:trPr>
          <w:trHeight w:val="410" w:hRule="atLeast"/>
        </w:trPr>
        <w:tc>
          <w:tcPr>
            <w:tcW w:w="2560" w:type="dxa"/>
          </w:tcPr>
          <w:p>
            <w:pPr>
              <w:pStyle w:val="FactLabel"/>
            </w:pPr>
            <w:r>
              <w:t xml:space="preserve">In charge on site</w:t>
            </w:r>
          </w:p>
        </w:tc>
        <w:tc>
          <w:tcPr>
            <w:tcW w:w="7426" w:type="dxa"/>
          </w:tcPr>
          <w:p>
            <w:pPr>
              <w:pStyle w:val="FactValue"/>
            </w:pPr>
            <w:r>
              <w:t xml:space="preserve">Dan Hollins</w:t>
            </w:r>
          </w:p>
        </w:tc>
      </w:tr>
      <w:tr>
        <w:trPr>
          <w:trHeight w:val="410" w:hRule="atLeast"/>
        </w:trPr>
        <w:tc>
          <w:tcPr>
            <w:tcW w:w="2560" w:type="dxa"/>
          </w:tcPr>
          <w:p>
            <w:pPr>
              <w:pStyle w:val="FactLabel"/>
            </w:pPr>
            <w:r>
              <w:t xml:space="preserve">Team</w:t>
            </w:r>
          </w:p>
        </w:tc>
        <w:tc>
          <w:tcPr>
            <w:tcW w:w="7426" w:type="dxa"/>
          </w:tcPr>
          <w:p>
            <w:pPr>
              <w:pStyle w:val="FactValue"/>
            </w:pPr>
            <w:r>
              <w:t xml:space="preserve">Two decorators: Dan Hollins leads and agrees each room with the office manager; Priya Shah works with him.</w:t>
            </w:r>
          </w:p>
        </w:tc>
      </w:tr>
      <w:tr>
        <w:trPr>
          <w:trHeight w:val="410" w:hRule="atLeast"/>
        </w:trPr>
        <w:tc>
          <w:tcPr>
            <w:tcW w:w="2560" w:type="dxa"/>
          </w:tcPr>
          <w:p>
            <w:pPr>
              <w:pStyle w:val="FactLabel"/>
            </w:pPr>
            <w:r>
              <w:t xml:space="preserve">Work</w:t>
            </w:r>
          </w:p>
        </w:tc>
        <w:tc>
          <w:tcPr>
            <w:tcW w:w="7426" w:type="dxa"/>
          </w:tcPr>
          <w:p>
            <w:pPr>
              <w:pStyle w:val="FactValue"/>
            </w:pPr>
            <w:r>
              <w:t xml:space="preserve">Repainting occupied offices</w:t>
            </w:r>
          </w:p>
        </w:tc>
      </w:tr>
      <w:tr>
        <w:trPr>
          <w:trHeight w:val="410" w:hRule="atLeast"/>
        </w:trPr>
        <w:tc>
          <w:tcPr>
            <w:tcW w:w="2560" w:type="dxa"/>
          </w:tcPr>
          <w:p>
            <w:pPr>
              <w:pStyle w:val="FactLabel"/>
            </w:pPr>
            <w:r>
              <w:t xml:space="preserve">Risk assessment</w:t>
            </w:r>
          </w:p>
        </w:tc>
        <w:tc>
          <w:tcPr>
            <w:tcW w:w="7426" w:type="dxa"/>
          </w:tcPr>
          <w:p>
            <w:pPr>
              <w:pStyle w:val="FactValue"/>
            </w:pPr>
            <w:r>
              <w:t xml:space="preserve">Repainting occupied offices: worked example RAMS, a separate document</w:t>
            </w:r>
          </w:p>
        </w:tc>
      </w:tr>
    </w:tbl>
    <w:p>
      <w:pPr>
        <w:pStyle w:val="Gap"/>
      </w:pPr>
    </w:p>
    <w:p>
      <w:pPr>
        <w:pStyle w:val="Heading1"/>
      </w:pPr>
      <w:r>
        <w:t xml:space="preserve">Work and boundaries</w:t>
      </w:r>
    </w:p>
    <w:p>
      <w:pPr>
        <w:pStyle w:val="FactValue"/>
        <w:spacing w:after="120"/>
      </w:pPr>
      <w:r>
        <w:t xml:space="preserve">Prepare surfaces, paint by brush or roller. Areas: Meeting rooms 1 and 2; Open-plan office; Corridor</w:t>
      </w:r>
    </w:p>
    <w:p>
      <w:pPr>
        <w:pStyle w:val="Gap"/>
      </w:pPr>
    </w:p>
    <w:p>
      <w:pPr>
        <w:pStyle w:val="Heading1"/>
      </w:pPr>
      <w:r>
        <w:t xml:space="preserve">Working arrangement</w:t>
      </w:r>
    </w:p>
    <w:p>
      <w:pPr>
        <w:pStyle w:val="FactValue"/>
        <w:spacing w:after="120"/>
      </w:pPr>
      <w:r>
        <w:t xml:space="preserve">Access: a podium.</w:t>
      </w:r>
    </w:p>
    <w:p>
      <w:pPr>
        <w:pStyle w:val="FactValue"/>
        <w:spacing w:after="120"/>
      </w:pPr>
      <w:r>
        <w:t xml:space="preserve">Working height: rooms about 2.7 m.</w:t>
      </w:r>
    </w:p>
    <w:p>
      <w:pPr>
        <w:pStyle w:val="FactValue"/>
        <w:spacing w:after="120"/>
      </w:pPr>
      <w:r>
        <w:t xml:space="preserve">Ground or floor: level, carpeted.</w:t>
      </w:r>
    </w:p>
    <w:p>
      <w:pPr>
        <w:pStyle w:val="FactValue"/>
        <w:spacing w:after="120"/>
      </w:pPr>
      <w:r>
        <w:t xml:space="preserve">Sanding dust: On-tool extraction.</w:t>
      </w:r>
    </w:p>
    <w:p>
      <w:pPr>
        <w:pStyle w:val="FactValue"/>
        <w:spacing w:after="120"/>
      </w:pPr>
      <w:r>
        <w:t xml:space="preserve">Paint: water-based matt emulsion, data sheet with the office manager.</w:t>
      </w:r>
    </w:p>
    <w:p>
      <w:pPr>
        <w:pStyle w:val="FactValue"/>
        <w:spacing w:after="120"/>
      </w:pPr>
      <w:r>
        <w:t xml:space="preserve">Other people will use parts of the area at times.</w:t>
      </w:r>
    </w:p>
    <w:p>
      <w:pPr>
        <w:pStyle w:val="FactValue"/>
        <w:spacing w:after="120"/>
      </w:pPr>
      <w:r>
        <w:t xml:space="preserve">Offices stay in use; each bay is screened off and released to us by the office manager, one at a time, and desks are moved only with staff agreement. Fire doors are never wedged; corridors and stairs stay clear. Only the day’s paint comes to the work, lids on; tins and wash water go by the agreed waste route. The older paint was tested with a lead test kit: no lead found. The asbestos survey covers the textured ceilings: none found. A detector head goes off only with the building manager’s agreement: the second decorator checks that area while it is off, and it is back on before we leave.</w:t>
      </w:r>
    </w:p>
    <w:p>
      <w:pPr>
        <w:pStyle w:val="Gap"/>
      </w:pPr>
    </w:p>
    <w:p>
      <w:pPr>
        <w:pStyle w:val="Heading1"/>
      </w:pPr>
      <w:r>
        <w:t xml:space="preserve">Emergency arrangements</w:t>
      </w:r>
    </w:p>
    <w:p>
      <w:pPr>
        <w:pStyle w:val="FactValue"/>
        <w:spacing w:after="120"/>
      </w:pPr>
      <w:r>
        <w:t xml:space="preserve">Fire bell: stop, close the tins and leave by Stair B. Do not use the lifts. Muster at Car Park C and report to the floor marshal. Fall from the podium: stop, do not move someone with a back or neck injury unless they are in danger. Spill or anyone unwell from the paint: open up, move staff away, stop using the product and bring the data sheet; tell the building manager at once. First aid: Reception, ext 200. Priya Shah rings 999; Reception meets the crew at the Mill Street door.</w:t>
      </w:r>
    </w:p>
    <w:p>
      <w:pPr>
        <w:pStyle w:val="Gap"/>
      </w:pPr>
    </w:p>
    <w:p>
      <w:pPr>
        <w:pStyle w:val="Heading1"/>
      </w:pPr>
      <w:r>
        <w:t xml:space="preserve">Planned method</w:t>
      </w:r>
    </w:p>
    <w:tbl>
      <w:tblPr>
        <w:tblW w:w="9986" w:type="dxa"/>
        <w:tblBorders>
          <w:top w:val="single" w:sz="4" w:space="0" w:color="CCD6E0"/>
          <w:bottom w:val="single" w:sz="4" w:space="0" w:color="CCD6E0"/>
          <w:insideH w:val="single" w:sz="4" w:space="0" w:color="CCD6E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20" w:firstRow="1" w:lastRow="0" w:firstColumn="0" w:lastColumn="0" w:noHBand="0" w:noVBand="1"/>
        <w:tblCaption w:val="Planned method"/>
      </w:tblPr>
      <w:tblGrid>
        <w:gridCol w:w="520"/>
        <w:gridCol w:w="9466"/>
      </w:tblGrid>
      <w:tr>
        <w:trPr>
          <w:trHeight w:val="420" w:hRule="atLeast"/>
        </w:trPr>
        <w:tc>
          <w:tcPr>
            <w:tcW w:w="520" w:type="dxa"/>
          </w:tcPr>
          <w:p>
            <w:pPr>
              <w:pStyle w:val="StepNumber"/>
              <w:numPr>
                <w:ilvl w:val="0"/>
                <w:numId w:val="1"/>
              </w:numPr>
            </w:pPr>
          </w:p>
        </w:tc>
        <w:tc>
          <w:tcPr>
            <w:tcW w:w="9466" w:type="dxa"/>
          </w:tcPr>
          <w:p>
            <w:pPr>
              <w:pStyle w:val="FactValue"/>
            </w:pPr>
            <w:r>
              <w:rPr>
                <w:b/>
              </w:rPr>
              <w:t xml:space="preserve">Set up the work area</w:t>
            </w:r>
          </w:p>
          <w:p>
            <w:pPr>
              <w:pStyle w:val="FactValue"/>
            </w:pPr>
            <w:r>
              <w:t xml:space="preserve">Confirm the work area and scope before starting. Keep other people outside the active work area. Keep entrances and escape routes clear.</w:t>
            </w:r>
          </w:p>
        </w:tc>
      </w:tr>
      <w:tr>
        <w:trPr>
          <w:trHeight w:val="420" w:hRule="atLeast"/>
        </w:trPr>
        <w:tc>
          <w:tcPr>
            <w:tcW w:w="520" w:type="dxa"/>
          </w:tcPr>
          <w:p>
            <w:pPr>
              <w:pStyle w:val="StepNumber"/>
              <w:numPr>
                <w:ilvl w:val="0"/>
                <w:numId w:val="1"/>
              </w:numPr>
            </w:pPr>
          </w:p>
        </w:tc>
        <w:tc>
          <w:tcPr>
            <w:tcW w:w="9466" w:type="dxa"/>
          </w:tcPr>
          <w:p>
            <w:pPr>
              <w:pStyle w:val="FactValue"/>
            </w:pPr>
            <w:r>
              <w:rPr>
                <w:b/>
              </w:rPr>
              <w:t xml:space="preserve">Keep people clear of the work</w:t>
            </w:r>
          </w:p>
          <w:p>
            <w:pPr>
              <w:pStyle w:val="FactValue"/>
            </w:pPr>
            <w:r>
              <w:t xml:space="preserve">Agree how people get past or around the work while it is going on. Put barriers or signs where a route crosses the work. Do not leave open work unattended.</w:t>
            </w:r>
          </w:p>
        </w:tc>
      </w:tr>
      <w:tr>
        <w:trPr>
          <w:trHeight w:val="420" w:hRule="atLeast"/>
        </w:trPr>
        <w:tc>
          <w:tcPr>
            <w:tcW w:w="520" w:type="dxa"/>
          </w:tcPr>
          <w:p>
            <w:pPr>
              <w:pStyle w:val="StepNumber"/>
              <w:numPr>
                <w:ilvl w:val="0"/>
                <w:numId w:val="1"/>
              </w:numPr>
            </w:pPr>
          </w:p>
        </w:tc>
        <w:tc>
          <w:tcPr>
            <w:tcW w:w="9466" w:type="dxa"/>
          </w:tcPr>
          <w:p>
            <w:pPr>
              <w:pStyle w:val="FactValue"/>
            </w:pPr>
            <w:r>
              <w:rPr>
                <w:b/>
              </w:rPr>
              <w:t xml:space="preserve">Check the paint information</w:t>
            </w:r>
          </w:p>
          <w:p>
            <w:pPr>
              <w:pStyle w:val="FactValue"/>
            </w:pPr>
            <w:r>
              <w:t xml:space="preserve">Read each label and safety data sheet before opening or mixing paint. Keep the product names with the RAMS.</w:t>
            </w:r>
          </w:p>
        </w:tc>
      </w:tr>
      <w:tr>
        <w:trPr>
          <w:trHeight w:val="420" w:hRule="atLeast"/>
        </w:trPr>
        <w:tc>
          <w:tcPr>
            <w:tcW w:w="520" w:type="dxa"/>
          </w:tcPr>
          <w:p>
            <w:pPr>
              <w:pStyle w:val="StepNumber"/>
              <w:numPr>
                <w:ilvl w:val="0"/>
                <w:numId w:val="1"/>
              </w:numPr>
            </w:pPr>
          </w:p>
        </w:tc>
        <w:tc>
          <w:tcPr>
            <w:tcW w:w="9466" w:type="dxa"/>
          </w:tcPr>
          <w:p>
            <w:pPr>
              <w:pStyle w:val="FactValue"/>
            </w:pPr>
            <w:r>
              <w:rPr>
                <w:b/>
              </w:rPr>
              <w:t xml:space="preserve">Check preparation products</w:t>
            </w:r>
          </w:p>
          <w:p>
            <w:pPr>
              <w:pStyle w:val="FactValue"/>
            </w:pPr>
            <w:r>
              <w:t xml:space="preserve">Read labels and safety data sheets for cleaners, fillers and strippers. Set skin, eye and ventilation controls before use.</w:t>
            </w:r>
          </w:p>
        </w:tc>
      </w:tr>
      <w:tr>
        <w:trPr>
          <w:trHeight w:val="420" w:hRule="atLeast"/>
        </w:trPr>
        <w:tc>
          <w:tcPr>
            <w:tcW w:w="520" w:type="dxa"/>
          </w:tcPr>
          <w:p>
            <w:pPr>
              <w:pStyle w:val="StepNumber"/>
              <w:numPr>
                <w:ilvl w:val="0"/>
                <w:numId w:val="1"/>
              </w:numPr>
            </w:pPr>
          </w:p>
        </w:tc>
        <w:tc>
          <w:tcPr>
            <w:tcW w:w="9466" w:type="dxa"/>
          </w:tcPr>
          <w:p>
            <w:pPr>
              <w:pStyle w:val="FactValue"/>
            </w:pPr>
            <w:r>
              <w:rPr>
                <w:b/>
              </w:rPr>
              <w:t xml:space="preserve">Check the surface as you go</w:t>
            </w:r>
          </w:p>
          <w:p>
            <w:pPr>
              <w:pStyle w:val="FactValue"/>
            </w:pPr>
            <w:r>
              <w:t xml:space="preserve">Compare the surface with the agreed description before scraping, filling or stripping. Stop if the material, coating or damage is different.</w:t>
            </w:r>
          </w:p>
        </w:tc>
      </w:tr>
      <w:tr>
        <w:trPr>
          <w:trHeight w:val="420" w:hRule="atLeast"/>
        </w:trPr>
        <w:tc>
          <w:tcPr>
            <w:tcW w:w="520" w:type="dxa"/>
          </w:tcPr>
          <w:p>
            <w:pPr>
              <w:pStyle w:val="StepNumber"/>
              <w:numPr>
                <w:ilvl w:val="0"/>
                <w:numId w:val="1"/>
              </w:numPr>
            </w:pPr>
          </w:p>
        </w:tc>
        <w:tc>
          <w:tcPr>
            <w:tcW w:w="9466" w:type="dxa"/>
          </w:tcPr>
          <w:p>
            <w:pPr>
              <w:pStyle w:val="FactValue"/>
            </w:pPr>
            <w:r>
              <w:rPr>
                <w:b/>
              </w:rPr>
              <w:t xml:space="preserve">Check for asbestos before you disturb anything</w:t>
            </w:r>
          </w:p>
          <w:p>
            <w:pPr>
              <w:pStyle w:val="FactValue"/>
            </w:pPr>
            <w:r>
              <w:t xml:space="preserve">Check the asbestos survey covers exactly what you will disturb, to the full depth. Register only, or nothing: get a refurbishment survey or a sample first. Read what it says about old paint, textured coatings, boards and walls. No survey, or a material you do not recognise: stop and get it checked.</w:t>
            </w:r>
          </w:p>
        </w:tc>
      </w:tr>
      <w:tr>
        <w:trPr>
          <w:trHeight w:val="420" w:hRule="atLeast"/>
        </w:trPr>
        <w:tc>
          <w:tcPr>
            <w:tcW w:w="520" w:type="dxa"/>
          </w:tcPr>
          <w:p>
            <w:pPr>
              <w:pStyle w:val="StepNumber"/>
              <w:numPr>
                <w:ilvl w:val="0"/>
                <w:numId w:val="1"/>
              </w:numPr>
            </w:pPr>
          </w:p>
        </w:tc>
        <w:tc>
          <w:tcPr>
            <w:tcW w:w="9466" w:type="dxa"/>
          </w:tcPr>
          <w:p>
            <w:pPr>
              <w:pStyle w:val="FactValue"/>
            </w:pPr>
            <w:r>
              <w:rPr>
                <w:b/>
              </w:rPr>
              <w:t xml:space="preserve">Set up access equipment</w:t>
            </w:r>
          </w:p>
          <w:p>
            <w:pPr>
              <w:pStyle w:val="FactValue"/>
            </w:pPr>
            <w:r>
              <w:t xml:space="preserve">Use access equipment suited to the task and work area. Check the equipment before use. Keep the area below the work controlled.</w:t>
            </w:r>
          </w:p>
        </w:tc>
      </w:tr>
      <w:tr>
        <w:trPr>
          <w:trHeight w:val="420" w:hRule="atLeast"/>
        </w:trPr>
        <w:tc>
          <w:tcPr>
            <w:tcW w:w="520" w:type="dxa"/>
          </w:tcPr>
          <w:p>
            <w:pPr>
              <w:pStyle w:val="StepNumber"/>
              <w:numPr>
                <w:ilvl w:val="0"/>
                <w:numId w:val="1"/>
              </w:numPr>
            </w:pPr>
          </w:p>
        </w:tc>
        <w:tc>
          <w:tcPr>
            <w:tcW w:w="9466" w:type="dxa"/>
          </w:tcPr>
          <w:p>
            <w:pPr>
              <w:pStyle w:val="FactValue"/>
            </w:pPr>
            <w:r>
              <w:rPr>
                <w:b/>
              </w:rPr>
              <w:t xml:space="preserve">Set fresh air before painting</w:t>
            </w:r>
          </w:p>
          <w:p>
            <w:pPr>
              <w:pStyle w:val="FactValue"/>
            </w:pPr>
            <w:r>
              <w:t xml:space="preserve">Open doors and windows where the site allows it. Use the ventilation named by the product assessment.</w:t>
            </w:r>
          </w:p>
        </w:tc>
      </w:tr>
      <w:tr>
        <w:trPr>
          <w:trHeight w:val="420" w:hRule="atLeast"/>
        </w:trPr>
        <w:tc>
          <w:tcPr>
            <w:tcW w:w="520" w:type="dxa"/>
          </w:tcPr>
          <w:p>
            <w:pPr>
              <w:pStyle w:val="StepNumber"/>
              <w:numPr>
                <w:ilvl w:val="0"/>
                <w:numId w:val="1"/>
              </w:numPr>
            </w:pPr>
          </w:p>
        </w:tc>
        <w:tc>
          <w:tcPr>
            <w:tcW w:w="9466" w:type="dxa"/>
          </w:tcPr>
          <w:p>
            <w:pPr>
              <w:pStyle w:val="FactValue"/>
            </w:pPr>
            <w:r>
              <w:rPr>
                <w:b/>
              </w:rPr>
              <w:t xml:space="preserve">Keep paint tins closed</w:t>
            </w:r>
          </w:p>
          <w:p>
            <w:pPr>
              <w:pStyle w:val="FactValue"/>
            </w:pPr>
            <w:r>
              <w:t xml:space="preserve">Close tins and containers when they are not being used. Clean spills with the agreed waste method.</w:t>
            </w:r>
          </w:p>
        </w:tc>
      </w:tr>
      <w:tr>
        <w:trPr>
          <w:trHeight w:val="420" w:hRule="atLeast"/>
        </w:trPr>
        <w:tc>
          <w:tcPr>
            <w:tcW w:w="520" w:type="dxa"/>
          </w:tcPr>
          <w:p>
            <w:pPr>
              <w:pStyle w:val="StepNumber"/>
              <w:numPr>
                <w:ilvl w:val="0"/>
                <w:numId w:val="1"/>
              </w:numPr>
            </w:pPr>
          </w:p>
        </w:tc>
        <w:tc>
          <w:tcPr>
            <w:tcW w:w="9466" w:type="dxa"/>
          </w:tcPr>
          <w:p>
            <w:pPr>
              <w:pStyle w:val="FactValue"/>
            </w:pPr>
            <w:r>
              <w:rPr>
                <w:b/>
              </w:rPr>
              <w:t xml:space="preserve">Control sanding dust</w:t>
            </w:r>
          </w:p>
          <w:p>
            <w:pPr>
              <w:pStyle w:val="FactValue"/>
            </w:pPr>
            <w:r>
              <w:t xml:space="preserve">Use the sanding dust method named in this document, and stop if it fails. Wear an APF 20 mask (FFP3 or P3) for dusty sanding: fit tested and clean-shaven.</w:t>
            </w:r>
          </w:p>
        </w:tc>
      </w:tr>
      <w:tr>
        <w:trPr>
          <w:trHeight w:val="420" w:hRule="atLeast"/>
        </w:trPr>
        <w:tc>
          <w:tcPr>
            <w:tcW w:w="520" w:type="dxa"/>
          </w:tcPr>
          <w:p>
            <w:pPr>
              <w:pStyle w:val="StepNumber"/>
              <w:numPr>
                <w:ilvl w:val="0"/>
                <w:numId w:val="1"/>
              </w:numPr>
            </w:pPr>
          </w:p>
        </w:tc>
        <w:tc>
          <w:tcPr>
            <w:tcW w:w="9466" w:type="dxa"/>
          </w:tcPr>
          <w:p>
            <w:pPr>
              <w:pStyle w:val="FactValue"/>
            </w:pPr>
            <w:r>
              <w:rPr>
                <w:b/>
              </w:rPr>
              <w:t xml:space="preserve">Apply the specified paint</w:t>
            </w:r>
          </w:p>
          <w:p>
            <w:pPr>
              <w:pStyle w:val="FactValue"/>
            </w:pPr>
            <w:r>
              <w:t xml:space="preserve">Use the specified brush or roller and follow the product order and drying instructions.</w:t>
            </w:r>
          </w:p>
        </w:tc>
      </w:tr>
      <w:tr>
        <w:trPr>
          <w:trHeight w:val="420" w:hRule="atLeast"/>
        </w:trPr>
        <w:tc>
          <w:tcPr>
            <w:tcW w:w="520" w:type="dxa"/>
          </w:tcPr>
          <w:p>
            <w:pPr>
              <w:pStyle w:val="StepNumber"/>
              <w:numPr>
                <w:ilvl w:val="0"/>
                <w:numId w:val="1"/>
              </w:numPr>
            </w:pPr>
          </w:p>
        </w:tc>
        <w:tc>
          <w:tcPr>
            <w:tcW w:w="9466" w:type="dxa"/>
          </w:tcPr>
          <w:p>
            <w:pPr>
              <w:pStyle w:val="FactValue"/>
            </w:pPr>
            <w:r>
              <w:rPr>
                <w:b/>
              </w:rPr>
              <w:t xml:space="preserve">Keep people away from wet paint</w:t>
            </w:r>
          </w:p>
          <w:p>
            <w:pPr>
              <w:pStyle w:val="FactValue"/>
            </w:pPr>
            <w:r>
              <w:t xml:space="preserve">Mark or barrier wet areas and protect floors and fittings. Only hand the area back when the product allows it.</w:t>
            </w:r>
          </w:p>
        </w:tc>
      </w:tr>
      <w:tr>
        <w:trPr>
          <w:trHeight w:val="420" w:hRule="atLeast"/>
        </w:trPr>
        <w:tc>
          <w:tcPr>
            <w:tcW w:w="520" w:type="dxa"/>
          </w:tcPr>
          <w:p>
            <w:pPr>
              <w:pStyle w:val="StepNumber"/>
              <w:numPr>
                <w:ilvl w:val="0"/>
                <w:numId w:val="1"/>
              </w:numPr>
            </w:pPr>
          </w:p>
        </w:tc>
        <w:tc>
          <w:tcPr>
            <w:tcW w:w="9466" w:type="dxa"/>
          </w:tcPr>
          <w:p>
            <w:pPr>
              <w:pStyle w:val="FactValue"/>
            </w:pPr>
            <w:r>
              <w:rPr>
                <w:b/>
              </w:rPr>
              <w:t xml:space="preserve">Wash before leaving the job</w:t>
            </w:r>
          </w:p>
          <w:p>
            <w:pPr>
              <w:pStyle w:val="FactValue"/>
            </w:pPr>
            <w:r>
              <w:t xml:space="preserve">Wash hands after painting and before eating, drinking or smoking. Change contaminated clothing where the assessment requires it.</w:t>
            </w:r>
          </w:p>
        </w:tc>
      </w:tr>
      <w:tr>
        <w:trPr>
          <w:trHeight w:val="420" w:hRule="atLeast"/>
        </w:trPr>
        <w:tc>
          <w:tcPr>
            <w:tcW w:w="520" w:type="dxa"/>
          </w:tcPr>
          <w:p>
            <w:pPr>
              <w:pStyle w:val="StepNumber"/>
              <w:numPr>
                <w:ilvl w:val="0"/>
                <w:numId w:val="1"/>
              </w:numPr>
            </w:pPr>
          </w:p>
        </w:tc>
        <w:tc>
          <w:tcPr>
            <w:tcW w:w="9466" w:type="dxa"/>
          </w:tcPr>
          <w:p>
            <w:pPr>
              <w:pStyle w:val="FactValue"/>
            </w:pPr>
            <w:r>
              <w:rPr>
                <w:b/>
              </w:rPr>
              <w:t xml:space="preserve">Clean up without raising dust</w:t>
            </w:r>
          </w:p>
          <w:p>
            <w:pPr>
              <w:pStyle w:val="FactValue"/>
            </w:pPr>
            <w:r>
              <w:t xml:space="preserve">Use a suitable vacuum for settled dust and collect wet waste safely. Do not dry sweep or blow dust into the room.</w:t>
            </w:r>
          </w:p>
        </w:tc>
      </w:tr>
      <w:tr>
        <w:trPr>
          <w:trHeight w:val="420" w:hRule="atLeast"/>
        </w:trPr>
        <w:tc>
          <w:tcPr>
            <w:tcW w:w="520" w:type="dxa"/>
          </w:tcPr>
          <w:p>
            <w:pPr>
              <w:pStyle w:val="StepNumber"/>
              <w:numPr>
                <w:ilvl w:val="0"/>
                <w:numId w:val="1"/>
              </w:numPr>
            </w:pPr>
          </w:p>
        </w:tc>
        <w:tc>
          <w:tcPr>
            <w:tcW w:w="9466" w:type="dxa"/>
          </w:tcPr>
          <w:p>
            <w:pPr>
              <w:pStyle w:val="FactValue"/>
            </w:pPr>
            <w:r>
              <w:rPr>
                <w:b/>
              </w:rPr>
              <w:t xml:space="preserve">Clear and hand back the area</w:t>
            </w:r>
          </w:p>
          <w:p>
            <w:pPr>
              <w:pStyle w:val="FactValue"/>
            </w:pPr>
            <w:r>
              <w:t xml:space="preserve">Remove tools, waste and unused materials. Check the area is clean and ready to use. Tell the customer or whoever runs the site when the work is complete.</w:t>
            </w:r>
          </w:p>
        </w:tc>
      </w:tr>
    </w:tbl>
    <w:p>
      <w:pPr>
        <w:pStyle w:val="Gap"/>
      </w:pPr>
    </w:p>
    <w:sectPr>
      <w:headerReference w:type="first" r:id="rIdHeadFirst"/>
      <w:headerReference w:type="default" r:id="rIdHead"/>
      <w:footerReference w:type="first" r:id="rIdFootFirst"/>
      <w:footerReference w:type="default" r:id="rIdFoot"/>
      <w:pgSz w:w="11906" w:h="16838"/>
      <w:pgMar w:top="1438" w:right="960" w:bottom="1400" w:left="960" w:header="480" w:footer="480" w:gutter="0"/>
      <w:titlePg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pStyle w:val="Footer"/>
      <w:pBdr>
        <w:top w:val="single" w:sz="4" w:space="6" w:color="CCD6E0"/>
      </w:pBdr>
      <w:tabs>
        <w:tab w:val="right" w:pos="9986"/>
      </w:tabs>
    </w:pPr>
    <w:r>
      <w:t xml:space="preserve">Worked example of a method statement. Change it to fit your job before you use it.</w:t>
    </w:r>
    <w:r>
      <w:tab/>
    </w: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  <w:p>
    <w:pPr>
      <w:pStyle w:val="Footer"/>
      <w:jc w:val="right"/>
    </w:pPr>
    <w:r>
      <w:rPr>
        <w:sz w:val="14"/>
      </w:rPr>
      <w:t xml:space="preserve">Made with ComplyOnSite</w:t>
    </w:r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pStyle w:val="Footer"/>
      <w:pBdr>
        <w:top w:val="single" w:sz="4" w:space="6" w:color="CCD6E0"/>
      </w:pBdr>
      <w:tabs>
        <w:tab w:val="right" w:pos="9986"/>
      </w:tabs>
    </w:pPr>
    <w:r>
      <w:t xml:space="preserve">Worked example of a method statement. Change it to fit your job before you use it.</w:t>
    </w:r>
    <w:r>
      <w:tab/>
    </w: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  <w:p>
    <w:pPr>
      <w:pStyle w:val="Footer"/>
      <w:jc w:val="right"/>
    </w:pPr>
    <w:r>
      <w:rPr>
        <w:sz w:val="14"/>
      </w:rPr>
      <w:t xml:space="preserve">Made with ComplyOnSite</w:t>
    </w:r>
  </w:p>
</w:ftr>
</file>

<file path=word/footer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pStyle w:val="Footer"/>
      <w:pBdr>
        <w:top w:val="single" w:sz="4" w:space="6" w:color="CCD6E0"/>
      </w:pBdr>
      <w:tabs>
        <w:tab w:val="right" w:pos="14918"/>
      </w:tabs>
    </w:pPr>
    <w:r>
      <w:t xml:space="preserve">Worked example of a method statement. Change it to fit your job before you use it.</w:t>
    </w:r>
    <w:r>
      <w:tab/>
    </w: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  <w:p>
    <w:pPr>
      <w:pStyle w:val="Footer"/>
      <w:jc w:val="right"/>
    </w:pPr>
    <w:r>
      <w:rPr>
        <w:sz w:val="14"/>
      </w:rPr>
      <w:t xml:space="preserve">Made with ComplyOnSite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>
  <w:p>
    <w:pPr>
      <w:pStyle w:val="Header"/>
      <w:pBdr>
        <w:top w:val="single" w:sz="48" w:space="10" w:color="FF5A1F"/>
      </w:pBdr>
      <w:tabs>
        <w:tab w:val="right" w:pos="9986"/>
      </w:tabs>
    </w:pP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>
  <w:p>
    <w:pPr>
      <w:pStyle w:val="Header"/>
      <w:pBdr>
        <w:top w:val="single" w:sz="48" w:space="10" w:color="FF5A1F"/>
        <w:bottom w:val="single" w:sz="4" w:space="4" w:color="CCD6E0"/>
      </w:pBdr>
      <w:tabs>
        <w:tab w:val="right" w:pos="9986"/>
      </w:tabs>
    </w:pPr>
    <w:fldSimple w:instr=" STYLEREF &quot;Title&quot; ">
      <w:r>
        <w:rPr>
          <w:b/>
          <w:color w:val="596678"/>
        </w:rPr>
        <w:t xml:space="preserve">Repainting occupied offices</w:t>
      </w:r>
    </w:fldSimple>
  </w:p>
</w:hdr>
</file>

<file path=word/header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>
  <w:p>
    <w:pPr>
      <w:pStyle w:val="Header"/>
      <w:pBdr>
        <w:top w:val="single" w:sz="48" w:space="10" w:color="FF5A1F"/>
        <w:bottom w:val="single" w:sz="4" w:space="4" w:color="CCD6E0"/>
      </w:pBdr>
      <w:tabs>
        <w:tab w:val="right" w:pos="14918"/>
      </w:tabs>
    </w:pPr>
    <w:fldSimple w:instr=" STYLEREF &quot;Title&quot; ">
      <w:r>
        <w:rPr>
          <w:b/>
          <w:color w:val="596678"/>
        </w:rPr>
        <w:t xml:space="preserve">Repainting occupied offices</w:t>
      </w:r>
    </w:fldSimple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suff w:val="nothing"/>
      <w:lvlText w:val="%1"/>
      <w:lvlJc w:val="left"/>
      <w:pPr>
        <w:ind w:left="0" w:firstLine="0"/>
      </w:pPr>
      <w:rPr>
        <w:b/>
        <w:color w:val="8C300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  <w:themeFontLang w:val="en-GB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293345"/>
        <w:sz w:val="21"/>
        <w:szCs w:val="21"/>
        <w:lang w:val="en-GB"/>
      </w:rPr>
    </w:rPrDefault>
    <w:pPrDefault>
      <w:pPr>
        <w:spacing w:before="0" w:after="120" w:line="288" w:lineRule="auto"/>
      </w:pPr>
    </w:pPrDefault>
  </w:docDefaults>
  <w:style w:type="paragraph" w:default="1" w:styleId="Normal">
    <w:name w:val="Normal"/>
    <w:qFormat/>
  </w:style>
  <w:style w:type="paragraph" w:styleId="Eyebrow">
    <w:name w:val="Document type"/>
    <w:basedOn w:val="Normal"/>
    <w:qFormat/>
    <w:pPr>
      <w:spacing w:before="200" w:after="80"/>
    </w:pPr>
    <w:rPr>
      <w:b/>
      <w:color w:val="8C300F"/>
      <w:sz w:val="17"/>
      <w:szCs w:val="17"/>
    </w:rPr>
  </w:style>
  <w:style w:type="paragraph" w:styleId="Title">
    <w:name w:val="Title"/>
    <w:basedOn w:val="Normal"/>
    <w:qFormat/>
    <w:pPr>
      <w:keepNext/>
      <w:spacing w:before="0" w:after="200"/>
    </w:pPr>
    <w:rPr>
      <w:b/>
      <w:color w:val="121A29"/>
      <w:sz w:val="44"/>
      <w:szCs w:val="44"/>
    </w:rPr>
  </w:style>
  <w:style w:type="paragraph" w:styleId="CoverTitle">
    <w:name w:val="Cover title"/>
    <w:basedOn w:val="Normal"/>
    <w:qFormat/>
    <w:pPr>
      <w:keepNext/>
      <w:spacing w:before="1200" w:after="800"/>
      <w:outlineLvl w:val="0"/>
    </w:pPr>
    <w:rPr>
      <w:b/>
      <w:color w:val="121A29"/>
      <w:sz w:val="68"/>
      <w:szCs w:val="68"/>
    </w:rPr>
  </w:style>
  <w:style w:type="paragraph" w:styleId="Heading1">
    <w:name w:val="heading 1"/>
    <w:basedOn w:val="Normal"/>
    <w:qFormat/>
    <w:pPr>
      <w:keepNext/>
      <w:keepLines/>
      <w:pBdr>
        <w:bottom w:val="single" w:sz="12" w:space="3" w:color="FF5A1F"/>
      </w:pBdr>
      <w:spacing w:before="280" w:after="160"/>
      <w:outlineLvl w:val="0"/>
    </w:pPr>
    <w:rPr>
      <w:b/>
      <w:color w:val="121A29"/>
      <w:sz w:val="28"/>
      <w:szCs w:val="28"/>
    </w:rPr>
  </w:style>
  <w:style w:type="paragraph" w:styleId="StepNumber">
    <w:name w:val="Step number"/>
    <w:basedOn w:val="Normal"/>
    <w:qFormat/>
    <w:pPr>
      <w:spacing w:after="0"/>
    </w:pPr>
    <w:rPr>
      <w:b/>
      <w:color w:val="8C300F"/>
      <w:sz w:val="22"/>
      <w:szCs w:val="22"/>
    </w:rPr>
  </w:style>
  <w:style w:type="paragraph" w:styleId="FactLabel">
    <w:name w:val="Field label"/>
    <w:basedOn w:val="Normal"/>
    <w:qFormat/>
    <w:pPr>
      <w:spacing w:after="0"/>
    </w:pPr>
    <w:rPr>
      <w:b/>
      <w:color w:val="596678"/>
      <w:sz w:val="18"/>
      <w:szCs w:val="18"/>
    </w:rPr>
  </w:style>
  <w:style w:type="paragraph" w:styleId="FactValue">
    <w:name w:val="Field value"/>
    <w:basedOn w:val="Normal"/>
    <w:qFormat/>
    <w:pPr>
      <w:spacing w:after="0"/>
    </w:pPr>
    <w:rPr>
      <w:color w:val="121A29"/>
    </w:rPr>
  </w:style>
  <w:style w:type="paragraph" w:styleId="TableHead">
    <w:name w:val="Table heading"/>
    <w:basedOn w:val="Normal"/>
    <w:qFormat/>
    <w:pPr>
      <w:keepNext/>
      <w:spacing w:after="0"/>
    </w:pPr>
    <w:rPr>
      <w:b/>
      <w:color w:val="596678"/>
      <w:sz w:val="17"/>
      <w:szCs w:val="17"/>
    </w:rPr>
  </w:style>
  <w:style w:type="paragraph" w:styleId="TableText">
    <w:name w:val="Table text"/>
    <w:basedOn w:val="Normal"/>
    <w:qFormat/>
    <w:pPr>
      <w:spacing w:after="0"/>
    </w:pPr>
    <w:rPr>
      <w:color w:val="121A29"/>
      <w:sz w:val="19"/>
      <w:szCs w:val="19"/>
    </w:rPr>
  </w:style>
  <w:style w:type="paragraph" w:styleId="KeyCell">
    <w:name w:val="Key cell"/>
    <w:basedOn w:val="Normal"/>
    <w:qFormat/>
    <w:pPr>
      <w:keepNext/>
      <w:spacing w:after="0"/>
      <w:jc w:val="center"/>
    </w:pPr>
    <w:rPr>
      <w:sz w:val="16"/>
      <w:szCs w:val="16"/>
    </w:rPr>
  </w:style>
  <w:style w:type="paragraph" w:styleId="KeyLabel">
    <w:name w:val="Key label"/>
    <w:basedOn w:val="Normal"/>
    <w:qFormat/>
    <w:pPr>
      <w:keepNext/>
      <w:spacing w:after="0"/>
    </w:pPr>
    <w:rPr>
      <w:color w:val="596678"/>
      <w:sz w:val="16"/>
      <w:szCs w:val="16"/>
    </w:rPr>
  </w:style>
  <w:style w:type="paragraph" w:styleId="KeyNote">
    <w:name w:val="Key note"/>
    <w:basedOn w:val="Normal"/>
    <w:qFormat/>
    <w:rPr>
      <w:sz w:val="16"/>
      <w:szCs w:val="16"/>
    </w:rPr>
  </w:style>
  <w:style w:type="paragraph" w:styleId="Gap">
    <w:name w:val="Gap"/>
    <w:basedOn w:val="Normal"/>
    <w:qFormat/>
    <w:pPr>
      <w:spacing w:after="0" w:line="120" w:lineRule="exact"/>
    </w:pPr>
    <w:rPr>
      <w:sz w:val="4"/>
      <w:szCs w:val="4"/>
    </w:rPr>
  </w:style>
  <w:style w:type="paragraph" w:styleId="Header">
    <w:name w:val="header"/>
    <w:basedOn w:val="Normal"/>
    <w:qFormat/>
    <w:pPr>
      <w:spacing w:after="0"/>
    </w:pPr>
    <w:rPr>
      <w:sz w:val="17"/>
      <w:szCs w:val="17"/>
    </w:rPr>
  </w:style>
  <w:style w:type="paragraph" w:styleId="Footer">
    <w:name w:val="footer"/>
    <w:basedOn w:val="Normal"/>
    <w:qFormat/>
    <w:pPr>
      <w:spacing w:after="0"/>
    </w:pPr>
    <w:rPr>
      <w:color w:val="596678"/>
      <w:sz w:val="16"/>
      <w:szCs w:val="16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Numbering" Type="http://schemas.openxmlformats.org/officeDocument/2006/relationships/numbering" Target="numbering.xml"/><Relationship Id="rIdHeadFirst" Type="http://schemas.openxmlformats.org/officeDocument/2006/relationships/header" Target="header1.xml"/><Relationship Id="rIdHead" Type="http://schemas.openxmlformats.org/officeDocument/2006/relationships/header" Target="header2.xml"/><Relationship Id="rIdHeadWide" Type="http://schemas.openxmlformats.org/officeDocument/2006/relationships/header" Target="header3.xml"/><Relationship Id="rIdFootFirst" Type="http://schemas.openxmlformats.org/officeDocument/2006/relationships/footer" Target="footer1.xml"/><Relationship Id="rIdFoot" Type="http://schemas.openxmlformats.org/officeDocument/2006/relationships/footer" Target="footer2.xml"/><Relationship Id="rIdFootWide" Type="http://schemas.openxmlformats.org/officeDocument/2006/relationships/footer" Target="footer3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Repainting occupied offices: worked example method statement</dc:title>
  <dc:subject>Method statement</dc:subject>
  <dc:creator>ComplyOnSite</dc:creator>
  <dcterms:created xsi:type="dcterms:W3CDTF">2026-10-01T09:00:00Z</dcterms:created>
  <dcterms:modified xsi:type="dcterms:W3CDTF">2026-10-01T09:00:00Z</dcterms:modified>
</cp:coreProperties>
</file>