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Tarmac resurfacing on a car park that stays partly open</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Surfacing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Thornley Vale Retail Park car park,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Five people: Dan Hollins leads and runs the paver; Priya Shah rakes and checks levels; Tom Ellis drives the roller; a shovel driver and a signaller work with them.</w:t>
            </w:r>
          </w:p>
        </w:tc>
      </w:tr>
      <w:tr>
        <w:trPr>
          <w:trHeight w:val="410" w:hRule="atLeast"/>
        </w:trPr>
        <w:tc>
          <w:tcPr>
            <w:tcW w:w="2560" w:type="dxa"/>
          </w:tcPr>
          <w:p>
            <w:pPr>
              <w:pStyle w:val="FactLabel"/>
            </w:pPr>
            <w:r>
              <w:t xml:space="preserve">Work</w:t>
            </w:r>
          </w:p>
        </w:tc>
        <w:tc>
          <w:tcPr>
            <w:tcW w:w="7426" w:type="dxa"/>
          </w:tcPr>
          <w:p>
            <w:pPr>
              <w:pStyle w:val="FactValue"/>
            </w:pPr>
            <w:r>
              <w:t xml:space="preserve">Tarmac resurfacing on a car park that stays partly open</w:t>
            </w:r>
          </w:p>
        </w:tc>
      </w:tr>
    </w:tbl>
    <w:p>
      <w:pPr>
        <w:pStyle w:val="Gap"/>
      </w:pPr>
    </w:p>
    <w:p>
      <w:pPr>
        <w:pStyle w:val="Heading1"/>
      </w:pPr>
      <w:r>
        <w:t xml:space="preserve">Work and boundaries</w:t>
      </w:r>
    </w:p>
    <w:p>
      <w:pPr>
        <w:pStyle w:val="FactValue"/>
        <w:spacing w:after="120"/>
      </w:pPr>
      <w:r>
        <w:t xml:space="preserve">Lay asphalt surfacing. Areas: Bay blocks A to D, one block at a time</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Other people will be using the area.</w:t>
      </w:r>
    </w:p>
    <w:p>
      <w:pPr>
        <w:pStyle w:val="FactValue"/>
        <w:spacing w:after="120"/>
      </w:pPr>
      <w:r>
        <w:t xml:space="preserve">The old surface was tested for tar before planing: clear. The car park stays partly open; each bay block is closed with barriers while we work, to the phasing drawing, and shoppers are kept out. Hot mat is treated as a danger to people until it has cooled. Reversing areas are marked. Tippers tip on firm level ground with a signaller, never with the body raised near overhead wires.</w:t>
      </w:r>
    </w:p>
    <w:p>
      <w:pPr>
        <w:pStyle w:val="Gap"/>
      </w:pPr>
    </w:p>
    <w:p>
      <w:pPr>
        <w:pStyle w:val="Heading1"/>
      </w:pPr>
      <w:r>
        <w:t xml:space="preserve">Emergency arrangements</w:t>
      </w:r>
    </w:p>
    <w:p>
      <w:pPr>
        <w:pStyle w:val="FactValue"/>
        <w:spacing w:after="120"/>
      </w:pPr>
      <w:r>
        <w:t xml:space="preserve">Bitumen burn: cool with water for at least 20 minutes, from the water containers kept at the work. Do not try to take the bitumen off on site; the burns card goes with the patient. Fuel or plant fire: everyone clear, shut the plant down if it is safe. Tipper touching an overhead line: stay clear and ring the line owner on the number on the site board. Ambulance route: the east entrance, kept open through every phase, plant never parked across it. The signaller rings 999 and meets the crew there. Fire routes for the shops stay open. First aider: Priya Shah, kit in the cab. The address to give is Thornley Vale Retail Park, Stockport.</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Test the old surface for coal tar</w:t>
            </w:r>
          </w:p>
          <w:p>
            <w:pPr>
              <w:pStyle w:val="FactValue"/>
            </w:pPr>
            <w:r>
              <w:t xml:space="preserve">Test before planing. Coal tar was used in all layers until the mid-1980s. A PAK marker is a screen, not a result. Where nothing is known, assume the arisings are hazardous.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Stop handling signs, covers and loose materials when the wind is strong enough to catch them.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cones, barriers and hand tools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delivery route safe</w:t>
            </w:r>
          </w:p>
          <w:p>
            <w:pPr>
              <w:pStyle w:val="FactValue"/>
            </w:pPr>
            <w:r>
              <w:t xml:space="preserve">Use a firm, even route suitable for the delivery vehicle and the work area. Separate drivers, pedestrians and surfacing plant before hot material arrives. Tip on firm, level ground with a signaller, not in high winds. No raised body near overhead wires.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Plane or break out the old surface</w:t>
            </w:r>
          </w:p>
          <w:p>
            <w:pPr>
              <w:pStyle w:val="FactValue"/>
            </w:pPr>
            <w:r>
              <w:t xml:space="preserve">Keep the dust down. Cut-off saw work needs water and an APF 20 mask (FFP3 or P3), fit tested and clean-shaven. Sweep and clear it, and remove standing water before anything is laid.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and prepare the base</w:t>
            </w:r>
          </w:p>
          <w:p>
            <w:pPr>
              <w:pStyle w:val="FactValue"/>
            </w:pPr>
            <w:r>
              <w:t xml:space="preserve">Check the base, levels, drainage, cleanliness and moisture before asphalt is delivered. Do not lay on a wet, contaminated or damaged base; put it right or stop the job.</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Reset covers and ironwork on a sound bed</w:t>
            </w:r>
          </w:p>
          <w:p>
            <w:pPr>
              <w:pStyle w:val="FactValue"/>
            </w:pPr>
            <w:r>
              <w:t xml:space="preserve">Find every cover, gully and fixed feature, and reset each on a sound bed before laying.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Apply the bond coat</w:t>
            </w:r>
          </w:p>
          <w:p>
            <w:pPr>
              <w:pStyle w:val="FactValue"/>
            </w:pPr>
            <w:r>
              <w:t xml:space="preserve">Apply bituminous emulsion to the cleaned surface.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paver and delivery gap</w:t>
            </w:r>
          </w:p>
          <w:p>
            <w:pPr>
              <w:pStyle w:val="FactValue"/>
            </w:pPr>
            <w:r>
              <w:t xml:space="preserve">Keep the paver, delivery vehicle and roller moving in the agreed sequence. Use clear signals and keep people out of the paver and reversing zones.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vibration from the pedestrian roller or plate</w:t>
            </w:r>
          </w:p>
          <w:p>
            <w:pPr>
              <w:pStyle w:val="FactValue"/>
            </w:pPr>
            <w:r>
              <w:t xml:space="preserve">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Spread the specified asphalt course</w:t>
            </w:r>
          </w:p>
          <w:p>
            <w:pPr>
              <w:pStyle w:val="FactValue"/>
            </w:pPr>
            <w:r>
              <w:t xml:space="preserve">Lay the specified mix to the agreed line, level, thickness and course sequence. Keep the mat free from contamination and keep people clear of the paver and hot material.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Compact the asphalt in sequence</w:t>
            </w:r>
          </w:p>
          <w:p>
            <w:pPr>
              <w:pStyle w:val="FactValue"/>
            </w:pPr>
            <w:r>
              <w:t xml:space="preserve">Compact uniformly with the agreed roller type, load and sequence while the mat is at the specified temperature. Keep the roller route separate from people and other plant. Wear ear protection on or near the roller.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Cool, inspect and release the route</w:t>
            </w:r>
          </w:p>
          <w:p>
            <w:pPr>
              <w:pStyle w:val="FactValue"/>
            </w:pPr>
            <w:r>
              <w:t xml:space="preserve">Keep vehicles and pedestrians off until the fresh surfacing has cooled and passed the project check. Remove barriers only after the customer or site contact accepts the route and defects are corrected.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Coal tar in the old surface is breathed in, touched or sent to the wrong tip</w:t>
            </w:r>
          </w:p>
          <w:p>
            <w:pPr>
              <w:pStyle w:val="TableText"/>
            </w:pPr>
            <w:r>
              <w:t xml:space="preserve">Step 3</w:t>
            </w:r>
          </w:p>
        </w:tc>
        <w:tc>
          <w:tcPr>
            <w:tcW w:w="2225" w:type="dxa"/>
          </w:tcPr>
          <w:p>
            <w:pPr>
              <w:pStyle w:val="TableText"/>
            </w:pPr>
            <w:r>
              <w:t xml:space="preserve">Surfacing team and whoever takes the waste</w:t>
            </w:r>
          </w:p>
        </w:tc>
        <w:tc>
          <w:tcPr>
            <w:tcW w:w="5174" w:type="dxa"/>
          </w:tcPr>
          <w:p>
            <w:pPr>
              <w:pStyle w:val="TableText"/>
            </w:pPr>
            <w:r>
              <w:t xml:space="preserve">Do a full assessment, including COSHH, if tar is found. Keep the waste records for any tar-bound arisings.</w:t>
            </w:r>
          </w:p>
        </w:tc>
      </w:tr>
      <w:tr>
        <w:trPr>
          <w:trHeight w:val="0" w:hRule="atLeast"/>
        </w:trPr>
        <w:tc>
          <w:tcPr>
            <w:tcW w:w="2587" w:type="dxa"/>
          </w:tcPr>
          <w:p>
            <w:pPr>
              <w:pStyle w:val="TableText"/>
            </w:pPr>
            <w:r>
              <w:t xml:space="preserve">Hitting a live cable or gas pipe causes shock, fire or gas escape</w:t>
            </w:r>
          </w:p>
          <w:p>
            <w:pPr>
              <w:pStyle w:val="TableText"/>
            </w:pPr>
            <w:r>
              <w:t xml:space="preserve">Step 4</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Wind catches the signs, covers and loose materials and blows them onto people nearby</w:t>
            </w:r>
          </w:p>
          <w:p>
            <w:pPr>
              <w:pStyle w:val="TableText"/>
            </w:pPr>
            <w:r>
              <w:t xml:space="preserve">Step 5</w:t>
            </w:r>
          </w:p>
        </w:tc>
        <w:tc>
          <w:tcPr>
            <w:tcW w:w="2225" w:type="dxa"/>
          </w:tcPr>
          <w:p>
            <w:pPr>
              <w:pStyle w:val="TableText"/>
            </w:pPr>
            <w:r>
              <w:t xml:space="preserve">The team and people nearby</w:t>
            </w:r>
          </w:p>
        </w:tc>
        <w:tc>
          <w:tcPr>
            <w:tcW w:w="5174" w:type="dxa"/>
          </w:tcPr>
          <w:p>
            <w:pPr>
              <w:pStyle w:val="TableText"/>
            </w:pPr>
            <w:r>
              <w:t xml:space="preserve">Check the forecast before you start and agree when the wind stops the work. Tie down or take in loose materials before you leave.</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6</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w:t>
            </w:r>
          </w:p>
        </w:tc>
      </w:tr>
      <w:tr>
        <w:trPr>
          <w:trHeight w:val="0" w:hRule="atLeast"/>
        </w:trPr>
        <w:tc>
          <w:tcPr>
            <w:tcW w:w="2587" w:type="dxa"/>
          </w:tcPr>
          <w:p>
            <w:pPr>
              <w:pStyle w:val="TableText"/>
            </w:pPr>
            <w:r>
              <w:t xml:space="preserve">A vehicle or person slips, trips or is struck on the delivery route</w:t>
            </w:r>
          </w:p>
          <w:p>
            <w:pPr>
              <w:pStyle w:val="TableText"/>
            </w:pPr>
            <w:r>
              <w:t xml:space="preserve">Step 7</w:t>
            </w:r>
          </w:p>
        </w:tc>
        <w:tc>
          <w:tcPr>
            <w:tcW w:w="2225" w:type="dxa"/>
          </w:tcPr>
          <w:p>
            <w:pPr>
              <w:pStyle w:val="TableText"/>
            </w:pPr>
            <w:r>
              <w:t xml:space="preserve">Surfacing team, drivers and pedestrians</w:t>
            </w:r>
          </w:p>
        </w:tc>
        <w:tc>
          <w:tcPr>
            <w:tcW w:w="5174" w:type="dxa"/>
          </w:tcPr>
          <w:p>
            <w:pPr>
              <w:pStyle w:val="TableText"/>
            </w:pPr>
            <w:r>
              <w:t xml:space="preserve">Use the agreed traffic plan and a trained vehicle marshal. Keep people out of the reversing and unloading area.</w:t>
            </w:r>
          </w:p>
        </w:tc>
      </w:tr>
      <w:tr>
        <w:trPr>
          <w:trHeight w:val="0" w:hRule="atLeast"/>
        </w:trPr>
        <w:tc>
          <w:tcPr>
            <w:tcW w:w="2587" w:type="dxa"/>
          </w:tcPr>
          <w:p>
            <w:pPr>
              <w:pStyle w:val="TableText"/>
            </w:pPr>
            <w:r>
              <w:t xml:space="preserve">Silica dust from planing and sawing old asphalt</w:t>
            </w:r>
          </w:p>
          <w:p>
            <w:pPr>
              <w:pStyle w:val="TableText"/>
            </w:pPr>
            <w:r>
              <w:t xml:space="preserve">Step 8</w:t>
            </w:r>
          </w:p>
        </w:tc>
        <w:tc>
          <w:tcPr>
            <w:tcW w:w="2225" w:type="dxa"/>
          </w:tcPr>
          <w:p>
            <w:pPr>
              <w:pStyle w:val="TableText"/>
            </w:pPr>
            <w:r>
              <w:t xml:space="preserve">Surfacing team and people near the work</w:t>
            </w:r>
          </w:p>
        </w:tc>
        <w:tc>
          <w:tcPr>
            <w:tcW w:w="5174" w:type="dxa"/>
          </w:tcPr>
          <w:p>
            <w:pPr>
              <w:pStyle w:val="TableText"/>
            </w:pPr>
            <w:r>
              <w:t xml:space="preserve">Keep the public out of the working area. Stop sawing if the water stops. Stop if the arisings do not match the test.</w:t>
            </w:r>
          </w:p>
        </w:tc>
      </w:tr>
      <w:tr>
        <w:trPr>
          <w:trHeight w:val="0" w:hRule="atLeast"/>
        </w:trPr>
        <w:tc>
          <w:tcPr>
            <w:tcW w:w="2587" w:type="dxa"/>
          </w:tcPr>
          <w:p>
            <w:pPr>
              <w:pStyle w:val="TableText"/>
            </w:pPr>
            <w:r>
              <w:t xml:space="preserve">A failed or uneven base leaves a defective surface and creates trips or skids</w:t>
            </w:r>
          </w:p>
          <w:p>
            <w:pPr>
              <w:pStyle w:val="TableText"/>
            </w:pPr>
            <w:r>
              <w:t xml:space="preserve">Step 9</w:t>
            </w:r>
          </w:p>
        </w:tc>
        <w:tc>
          <w:tcPr>
            <w:tcW w:w="2225" w:type="dxa"/>
          </w:tcPr>
          <w:p>
            <w:pPr>
              <w:pStyle w:val="TableText"/>
            </w:pPr>
            <w:r>
              <w:t xml:space="preserve">Surfacing team, drivers and people using the route</w:t>
            </w:r>
          </w:p>
        </w:tc>
        <w:tc>
          <w:tcPr>
            <w:tcW w:w="5174" w:type="dxa"/>
          </w:tcPr>
          <w:p>
            <w:pPr>
              <w:pStyle w:val="TableText"/>
            </w:pPr>
            <w:r>
              <w:t xml:space="preserve">Record the base check before delivery. Keep rain and standing water out of the laying area.</w:t>
            </w:r>
          </w:p>
        </w:tc>
      </w:tr>
      <w:tr>
        <w:trPr>
          <w:trHeight w:val="0" w:hRule="atLeast"/>
        </w:trPr>
        <w:tc>
          <w:tcPr>
            <w:tcW w:w="2587" w:type="dxa"/>
          </w:tcPr>
          <w:p>
            <w:pPr>
              <w:pStyle w:val="TableText"/>
            </w:pPr>
            <w:r>
              <w:t xml:space="preserve">A cover left loose or proud becomes a trip or a failure under traffic</w:t>
            </w:r>
          </w:p>
          <w:p>
            <w:pPr>
              <w:pStyle w:val="TableText"/>
            </w:pPr>
            <w:r>
              <w:t xml:space="preserve">Step 10</w:t>
            </w:r>
          </w:p>
        </w:tc>
        <w:tc>
          <w:tcPr>
            <w:tcW w:w="2225" w:type="dxa"/>
          </w:tcPr>
          <w:p>
            <w:pPr>
              <w:pStyle w:val="TableText"/>
            </w:pPr>
            <w:r>
              <w:t xml:space="preserve">Everyone using the surface</w:t>
            </w:r>
          </w:p>
        </w:tc>
        <w:tc>
          <w:tcPr>
            <w:tcW w:w="5174" w:type="dxa"/>
          </w:tcPr>
          <w:p>
            <w:pPr>
              <w:pStyle w:val="TableText"/>
            </w:pPr>
            <w:r>
              <w:t xml:space="preserve">Do not lay over a cover that has not been checked.</w:t>
            </w:r>
          </w:p>
        </w:tc>
      </w:tr>
      <w:tr>
        <w:trPr>
          <w:trHeight w:val="0" w:hRule="atLeast"/>
        </w:trPr>
        <w:tc>
          <w:tcPr>
            <w:tcW w:w="2587" w:type="dxa"/>
          </w:tcPr>
          <w:p>
            <w:pPr>
              <w:pStyle w:val="TableText"/>
            </w:pPr>
            <w:r>
              <w:t xml:space="preserve">Skin contact with bitumen emulsion</w:t>
            </w:r>
          </w:p>
          <w:p>
            <w:pPr>
              <w:pStyle w:val="TableText"/>
            </w:pPr>
            <w:r>
              <w:t xml:space="preserve">Step 11</w:t>
            </w:r>
          </w:p>
        </w:tc>
        <w:tc>
          <w:tcPr>
            <w:tcW w:w="2225" w:type="dxa"/>
          </w:tcPr>
          <w:p>
            <w:pPr>
              <w:pStyle w:val="TableText"/>
            </w:pPr>
            <w:r>
              <w:t xml:space="preserve">Surfacing team</w:t>
            </w:r>
          </w:p>
        </w:tc>
        <w:tc>
          <w:tcPr>
            <w:tcW w:w="5174" w:type="dxa"/>
          </w:tcPr>
          <w:p>
            <w:pPr>
              <w:pStyle w:val="TableText"/>
            </w:pPr>
            <w:r>
              <w:t xml:space="preserve">Wear gloves and long sleeves, and wash any splash off skin straight away. Keep people and vehicles off the coated area.</w:t>
            </w:r>
          </w:p>
        </w:tc>
      </w:tr>
      <w:tr>
        <w:trPr>
          <w:trHeight w:val="0" w:hRule="atLeast"/>
        </w:trPr>
        <w:tc>
          <w:tcPr>
            <w:tcW w:w="2587" w:type="dxa"/>
          </w:tcPr>
          <w:p>
            <w:pPr>
              <w:pStyle w:val="TableText"/>
            </w:pPr>
            <w:r>
              <w:t xml:space="preserve">A delivery vehicle or paver strikes a person or stops the mat from being laid evenly</w:t>
            </w:r>
          </w:p>
          <w:p>
            <w:pPr>
              <w:pStyle w:val="TableText"/>
            </w:pPr>
            <w:r>
              <w:t xml:space="preserve">Step 12</w:t>
            </w:r>
          </w:p>
        </w:tc>
        <w:tc>
          <w:tcPr>
            <w:tcW w:w="2225" w:type="dxa"/>
          </w:tcPr>
          <w:p>
            <w:pPr>
              <w:pStyle w:val="TableText"/>
            </w:pPr>
            <w:r>
              <w:t xml:space="preserve">Surfacing team, drivers and pedestrians</w:t>
            </w:r>
          </w:p>
        </w:tc>
        <w:tc>
          <w:tcPr>
            <w:tcW w:w="5174" w:type="dxa"/>
          </w:tcPr>
          <w:p>
            <w:pPr>
              <w:pStyle w:val="TableText"/>
            </w:pPr>
            <w:r>
              <w:t xml:space="preserve">Use one agreed marshal and visible signals. Stop plant before anyone enters its operating area.</w:t>
            </w:r>
          </w:p>
        </w:tc>
      </w:tr>
      <w:tr>
        <w:trPr>
          <w:trHeight w:val="0" w:hRule="atLeast"/>
        </w:trPr>
        <w:tc>
          <w:tcPr>
            <w:tcW w:w="2587" w:type="dxa"/>
          </w:tcPr>
          <w:p>
            <w:pPr>
              <w:pStyle w:val="TableText"/>
            </w:pPr>
            <w:r>
              <w:t xml:space="preserve">Hand-arm vibration from the pedestrian roller or plate</w:t>
            </w:r>
          </w:p>
          <w:p>
            <w:pPr>
              <w:pStyle w:val="TableText"/>
            </w:pPr>
            <w:r>
              <w:t xml:space="preserve">Step 13</w:t>
            </w:r>
          </w:p>
        </w:tc>
        <w:tc>
          <w:tcPr>
            <w:tcW w:w="2225" w:type="dxa"/>
          </w:tcPr>
          <w:p>
            <w:pPr>
              <w:pStyle w:val="TableText"/>
            </w:pPr>
            <w:r>
              <w:t xml:space="preserve">The roller operator</w:t>
            </w:r>
          </w:p>
        </w:tc>
        <w:tc>
          <w:tcPr>
            <w:tcW w:w="5174" w:type="dxa"/>
          </w:tcPr>
          <w:p>
            <w:pPr>
              <w:pStyle w:val="TableText"/>
            </w:pPr>
            <w:r>
              <w:t xml:space="preserve">Keep the tools maintained and hands warm. Gloves do not stop vibration. Give health checks to anyone above the action value.</w:t>
            </w:r>
          </w:p>
        </w:tc>
      </w:tr>
      <w:tr>
        <w:trPr>
          <w:trHeight w:val="0" w:hRule="atLeast"/>
        </w:trPr>
        <w:tc>
          <w:tcPr>
            <w:tcW w:w="2587" w:type="dxa"/>
          </w:tcPr>
          <w:p>
            <w:pPr>
              <w:pStyle w:val="TableText"/>
            </w:pPr>
            <w:r>
              <w:t xml:space="preserve">Hot asphalt or moving plant injures someone, or the finished course is uneven</w:t>
            </w:r>
          </w:p>
          <w:p>
            <w:pPr>
              <w:pStyle w:val="TableText"/>
            </w:pPr>
            <w:r>
              <w:t xml:space="preserve">Step 14</w:t>
            </w:r>
          </w:p>
        </w:tc>
        <w:tc>
          <w:tcPr>
            <w:tcW w:w="2225" w:type="dxa"/>
          </w:tcPr>
          <w:p>
            <w:pPr>
              <w:pStyle w:val="TableText"/>
            </w:pPr>
            <w:r>
              <w:t xml:space="preserve">Surfacing team, drivers and people nearby</w:t>
            </w:r>
          </w:p>
        </w:tc>
        <w:tc>
          <w:tcPr>
            <w:tcW w:w="5174" w:type="dxa"/>
          </w:tcPr>
          <w:p>
            <w:pPr>
              <w:pStyle w:val="TableText"/>
            </w:pPr>
            <w:r>
              <w:t xml:space="preserve">Have a competent supervisor control laying and finishing. Use the agreed plant route and exclusion area.</w:t>
            </w:r>
          </w:p>
        </w:tc>
      </w:tr>
      <w:tr>
        <w:trPr>
          <w:trHeight w:val="0" w:hRule="atLeast"/>
        </w:trPr>
        <w:tc>
          <w:tcPr>
            <w:tcW w:w="2587" w:type="dxa"/>
          </w:tcPr>
          <w:p>
            <w:pPr>
              <w:pStyle w:val="TableText"/>
            </w:pPr>
            <w:r>
              <w:t xml:space="preserve">Poor density, displaced asphalt or a roller strikes someone</w:t>
            </w:r>
          </w:p>
          <w:p>
            <w:pPr>
              <w:pStyle w:val="TableText"/>
            </w:pPr>
            <w:r>
              <w:t xml:space="preserve">Step 15</w:t>
            </w:r>
          </w:p>
        </w:tc>
        <w:tc>
          <w:tcPr>
            <w:tcW w:w="2225" w:type="dxa"/>
          </w:tcPr>
          <w:p>
            <w:pPr>
              <w:pStyle w:val="TableText"/>
            </w:pPr>
            <w:r>
              <w:t xml:space="preserve">Surfacing team and people near the plant</w:t>
            </w:r>
          </w:p>
        </w:tc>
        <w:tc>
          <w:tcPr>
            <w:tcW w:w="5174" w:type="dxa"/>
          </w:tcPr>
          <w:p>
            <w:pPr>
              <w:pStyle w:val="TableText"/>
            </w:pPr>
            <w:r>
              <w:t xml:space="preserve">Use the approved trial or project compaction method. Use a trained operator and clear signals.</w:t>
            </w:r>
          </w:p>
        </w:tc>
      </w:tr>
      <w:tr>
        <w:trPr>
          <w:trHeight w:val="0" w:hRule="atLeast"/>
        </w:trPr>
        <w:tc>
          <w:tcPr>
            <w:tcW w:w="2587" w:type="dxa"/>
          </w:tcPr>
          <w:p>
            <w:pPr>
              <w:pStyle w:val="TableText"/>
            </w:pPr>
            <w:r>
              <w:t xml:space="preserve">A road user enters fresh asphalt, is burned or damages an unfinished surface</w:t>
            </w:r>
          </w:p>
          <w:p>
            <w:pPr>
              <w:pStyle w:val="TableText"/>
            </w:pPr>
            <w:r>
              <w:t xml:space="preserve">Step 16</w:t>
            </w:r>
          </w:p>
        </w:tc>
        <w:tc>
          <w:tcPr>
            <w:tcW w:w="2225" w:type="dxa"/>
          </w:tcPr>
          <w:p>
            <w:pPr>
              <w:pStyle w:val="TableText"/>
            </w:pPr>
            <w:r>
              <w:t xml:space="preserve">Drivers, pedestrians and surfacing team</w:t>
            </w:r>
          </w:p>
        </w:tc>
        <w:tc>
          <w:tcPr>
            <w:tcW w:w="5174" w:type="dxa"/>
          </w:tcPr>
          <w:p>
            <w:pPr>
              <w:pStyle w:val="TableText"/>
            </w:pPr>
            <w:r>
              <w:t xml:space="preserve">Keep the closure and diversion in place through cooling. Record the inspection and handover.</w:t>
            </w:r>
          </w:p>
        </w:tc>
      </w:tr>
      <w:tr>
        <w:trPr>
          <w:trHeight w:val="0" w:hRule="atLeast"/>
        </w:trPr>
        <w:tc>
          <w:tcPr>
            <w:tcW w:w="2587" w:type="dxa"/>
          </w:tcPr>
          <w:p>
            <w:pPr>
              <w:pStyle w:val="TableText"/>
            </w:pPr>
            <w:r>
              <w:t xml:space="preserve">Debris, tools or unfinished work left in the area</w:t>
            </w:r>
          </w:p>
          <w:p>
            <w:pPr>
              <w:pStyle w:val="TableText"/>
            </w:pPr>
            <w:r>
              <w:t xml:space="preserve">Step 17</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Tarmac resurfacing on a car park that stays partly open</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Tarmac resurfacing on a car park that stays partly open</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Tarmac resurfacing on a car park that stays partly open: worked example RAMS</dc:title>
  <dc:subject>Risk assessment and method statement</dc:subject>
  <dc:creator>ComplyOnSite</dc:creator>
  <dcterms:created xsi:type="dcterms:W3CDTF">2026-10-01T09:00:00Z</dcterms:created>
  <dcterms:modified xsi:type="dcterms:W3CDTF">2026-10-01T09:00:00Z</dcterms:modified>
</cp:coreProperties>
</file>